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right="960"/>
        <w:jc w:val="center"/>
        <w:rPr>
          <w:rFonts w:ascii="宋体" w:hAnsi="宋体"/>
          <w:color w:val="000000"/>
          <w:sz w:val="24"/>
          <w:szCs w:val="18"/>
        </w:rPr>
      </w:pPr>
      <w:r>
        <w:rPr>
          <w:rFonts w:ascii="宋体" w:hAnsi="宋体"/>
          <w:color w:val="000000"/>
          <w:sz w:val="24"/>
          <w:szCs w:val="18"/>
        </w:rPr>
      </w:r>
      <w:r/>
    </w:p>
    <w:p>
      <w:pPr>
        <w:pStyle w:val="1008"/>
        <w:jc w:val="center"/>
        <w:spacing w:line="780" w:lineRule="exact"/>
        <w:rPr>
          <w:rFonts w:ascii="宋体" w:hAnsi="宋体"/>
          <w:b/>
          <w:bCs/>
          <w:color w:val="000000"/>
          <w:position w:val="8"/>
          <w:sz w:val="40"/>
          <w:szCs w:val="40"/>
          <w:lang w:val="en-US" w:eastAsia="zh-CN"/>
        </w:rPr>
      </w:pPr>
      <w:r>
        <w:rPr>
          <w:rFonts w:hint="eastAsia" w:ascii="宋体" w:hAnsi="宋体"/>
          <w:b/>
          <w:bCs/>
          <w:color w:val="000000"/>
          <w:position w:val="8"/>
          <w:sz w:val="32"/>
          <w:szCs w:val="32"/>
          <w:lang w:val="en-US" w:eastAsia="zh-CN"/>
        </w:rPr>
        <w:t xml:space="preserve">                          </w:t>
      </w:r>
      <w:r>
        <w:rPr>
          <w:rFonts w:hint="eastAsia" w:ascii="宋体" w:hAnsi="宋体"/>
          <w:b/>
          <w:bCs/>
          <w:color w:val="000000"/>
          <w:position w:val="8"/>
          <w:sz w:val="32"/>
          <w:szCs w:val="32"/>
        </w:rPr>
        <w:t xml:space="preserve">编号：</w:t>
      </w:r>
      <w:r>
        <w:rPr>
          <w:rFonts w:hint="eastAsia" w:ascii="宋体" w:hAnsi="宋体"/>
          <w:b/>
          <w:bCs/>
          <w:color w:val="000000"/>
          <w:position w:val="8"/>
          <w:sz w:val="32"/>
          <w:szCs w:val="32"/>
          <w:lang w:val="en-US" w:eastAsia="zh-CN"/>
        </w:rPr>
        <w:t xml:space="preserve">JSXYYY-2025-11                                      </w:t>
      </w:r>
      <w:r>
        <w:rPr>
          <w:rFonts w:ascii="宋体" w:hAnsi="宋体"/>
          <w:b/>
          <w:bCs/>
          <w:color w:val="000000"/>
          <w:position w:val="8"/>
          <w:sz w:val="40"/>
          <w:szCs w:val="40"/>
          <w:lang w:val="en-US" w:eastAsia="zh-CN"/>
        </w:rPr>
      </w:r>
      <w:r/>
    </w:p>
    <w:p>
      <w:pPr>
        <w:pStyle w:val="1017"/>
        <w:jc w:val="center"/>
        <w:rPr>
          <w:rFonts w:hint="eastAsia" w:ascii="宋体" w:hAnsi="宋体"/>
          <w:b/>
          <w:bCs/>
          <w:color w:val="000000"/>
          <w:position w:val="8"/>
          <w:sz w:val="40"/>
          <w:szCs w:val="40"/>
          <w:lang w:eastAsia="zh-CN"/>
        </w:rPr>
      </w:pPr>
      <w:r>
        <w:rPr>
          <w:rFonts w:hint="eastAsia" w:ascii="宋体" w:hAnsi="宋体"/>
          <w:b/>
          <w:bCs/>
          <w:color w:val="000000"/>
          <w:position w:val="8"/>
          <w:sz w:val="40"/>
          <w:szCs w:val="40"/>
          <w:lang w:eastAsia="zh-CN"/>
        </w:rPr>
        <w:t xml:space="preserve">仪征市发改委“十五五”专项规划编制服务项目（二次）</w:t>
      </w:r>
      <w:r>
        <w:rPr>
          <w:rFonts w:hint="eastAsia" w:ascii="宋体" w:hAnsi="宋体"/>
          <w:b/>
          <w:bCs/>
          <w:color w:val="000000"/>
          <w:position w:val="8"/>
          <w:sz w:val="40"/>
          <w:szCs w:val="40"/>
          <w:lang w:eastAsia="zh-CN"/>
        </w:rPr>
      </w:r>
      <w:r/>
    </w:p>
    <w:p>
      <w:pPr>
        <w:pStyle w:val="1049"/>
        <w:rPr>
          <w:rFonts w:hint="eastAsia" w:ascii="宋体" w:hAnsi="宋体"/>
          <w:b/>
          <w:bCs/>
          <w:color w:val="000000"/>
          <w:position w:val="8"/>
          <w:sz w:val="40"/>
          <w:szCs w:val="40"/>
          <w:lang w:eastAsia="zh-CN"/>
        </w:rPr>
      </w:pPr>
      <w:r>
        <w:rPr>
          <w:rFonts w:hint="eastAsia" w:ascii="宋体" w:hAnsi="宋体"/>
          <w:b/>
          <w:bCs/>
          <w:color w:val="000000"/>
          <w:position w:val="8"/>
          <w:sz w:val="40"/>
          <w:szCs w:val="40"/>
          <w:lang w:eastAsia="zh-CN"/>
        </w:rPr>
      </w:r>
      <w:r/>
    </w:p>
    <w:p>
      <w:pPr>
        <w:pStyle w:val="1049"/>
      </w:pPr>
      <w:r/>
      <w:r/>
    </w:p>
    <w:p>
      <w:pPr>
        <w:pStyle w:val="1008"/>
        <w:jc w:val="center"/>
        <w:rPr>
          <w:color w:val="000000"/>
        </w:rPr>
      </w:pPr>
      <w:r>
        <w:rPr>
          <w:color w:val="000000"/>
        </w:rPr>
      </w:r>
      <w:r/>
    </w:p>
    <w:p>
      <w:pPr>
        <w:pStyle w:val="1008"/>
        <w:ind w:left="1800" w:right="934" w:hanging="1600"/>
        <w:jc w:val="left"/>
        <w:rPr>
          <w:rFonts w:hint="eastAsia" w:ascii="宋体" w:hAnsi="宋体" w:eastAsia="宋体"/>
          <w:sz w:val="32"/>
          <w:szCs w:val="36"/>
          <w:lang w:eastAsia="zh-CN"/>
        </w:rPr>
      </w:pPr>
      <w:r>
        <w:rPr>
          <w:rFonts w:hint="eastAsia" w:ascii="宋体" w:hAnsi="宋体" w:eastAsia="宋体"/>
          <w:sz w:val="32"/>
          <w:szCs w:val="36"/>
          <w:lang w:eastAsia="zh-CN"/>
        </w:rPr>
        <mc:AlternateContent>
          <mc:Choice Requires="wpg">
            <w:drawing>
              <wp:inline xmlns:wp="http://schemas.openxmlformats.org/drawingml/2006/wordprocessingDrawing" distT="0" distB="0" distL="0" distR="0">
                <wp:extent cx="5267325" cy="2962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7325" cy="296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33.2pt;mso-wrap-distance-left:0.0pt;mso-wrap-distance-top:0.0pt;mso-wrap-distance-right:0.0pt;mso-wrap-distance-bottom:0.0pt;" stroked="f">
                <v:path textboxrect="0,0,0,0"/>
                <v:imagedata r:id="rId17" o:title=""/>
              </v:shape>
            </w:pict>
          </mc:Fallback>
        </mc:AlternateContent>
      </w:r>
      <w:r>
        <w:rPr>
          <w:rFonts w:hint="eastAsia" w:ascii="宋体" w:hAnsi="宋体" w:eastAsia="宋体"/>
          <w:sz w:val="32"/>
          <w:szCs w:val="36"/>
          <w:lang w:eastAsia="zh-CN"/>
        </w:rPr>
      </w:r>
      <w:r/>
    </w:p>
    <w:p>
      <w:pPr>
        <w:pStyle w:val="1008"/>
        <w:jc w:val="left"/>
        <w:outlineLvl w:val="9"/>
      </w:pPr>
      <w:r/>
      <w:r/>
    </w:p>
    <w:p>
      <w:pPr>
        <w:pStyle w:val="1008"/>
        <w:jc w:val="left"/>
        <w:outlineLvl w:val="9"/>
      </w:pPr>
      <w:r/>
      <w:r/>
    </w:p>
    <w:p>
      <w:pPr>
        <w:pStyle w:val="1008"/>
        <w:jc w:val="left"/>
        <w:outlineLvl w:val="9"/>
      </w:pPr>
      <w:r/>
      <w:r/>
    </w:p>
    <w:p>
      <w:pPr>
        <w:pStyle w:val="1017"/>
      </w:pPr>
      <w:r/>
      <w:r/>
    </w:p>
    <w:p>
      <w:pPr>
        <w:pStyle w:val="1018"/>
      </w:pPr>
      <w:r/>
      <w:r/>
    </w:p>
    <w:p>
      <w:pPr>
        <w:pStyle w:val="1008"/>
        <w:jc w:val="left"/>
        <w:outlineLvl w:val="9"/>
      </w:pPr>
      <w:r/>
      <w:r/>
    </w:p>
    <w:p>
      <w:pPr>
        <w:pStyle w:val="1008"/>
        <w:jc w:val="left"/>
        <w:outlineLvl w:val="9"/>
      </w:pPr>
      <w:r/>
      <w:r/>
    </w:p>
    <w:p>
      <w:pPr>
        <w:pStyle w:val="1008"/>
        <w:jc w:val="center"/>
        <w:rPr>
          <w:rFonts w:hint="eastAsia"/>
          <w:lang w:eastAsia="zh-CN"/>
        </w:rPr>
        <w:outlineLvl w:val="9"/>
      </w:pPr>
      <w:r>
        <w:rPr>
          <w:rFonts w:hint="eastAsia"/>
          <w:b/>
          <w:bCs/>
          <w:sz w:val="32"/>
          <w:szCs w:val="32"/>
          <w:lang w:eastAsia="zh-CN"/>
        </w:rPr>
        <w:t xml:space="preserve">江苏星宇仪邮项目管理有限公司</w:t>
      </w:r>
      <w:r>
        <w:rPr>
          <w:rFonts w:hint="eastAsia"/>
          <w:lang w:eastAsia="zh-CN"/>
        </w:rPr>
      </w:r>
      <w:r/>
    </w:p>
    <w:p>
      <w:pPr>
        <w:pStyle w:val="1008"/>
        <w:jc w:val="center"/>
        <w:rPr>
          <w:rFonts w:ascii="宋体" w:hAnsi="宋体"/>
          <w:b/>
          <w:color w:val="000000"/>
          <w:sz w:val="32"/>
          <w:szCs w:val="32"/>
        </w:rPr>
        <w:sectPr>
          <w:headerReference w:type="default" r:id="rId8"/>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 w:val="32"/>
          <w:szCs w:val="32"/>
        </w:rPr>
        <w:t xml:space="preserve">202</w:t>
      </w:r>
      <w:r>
        <w:rPr>
          <w:rFonts w:hint="eastAsia" w:ascii="宋体" w:hAnsi="宋体"/>
          <w:b/>
          <w:color w:val="000000"/>
          <w:sz w:val="32"/>
          <w:szCs w:val="32"/>
          <w:lang w:val="en-US" w:eastAsia="zh-CN"/>
        </w:rPr>
        <w:t xml:space="preserve">5</w:t>
      </w:r>
      <w:r>
        <w:rPr>
          <w:rFonts w:hint="eastAsia" w:ascii="宋体" w:hAnsi="宋体"/>
          <w:b/>
          <w:color w:val="000000"/>
          <w:sz w:val="32"/>
          <w:szCs w:val="32"/>
        </w:rPr>
        <w:t xml:space="preserve">年</w:t>
      </w:r>
      <w:r>
        <w:rPr>
          <w:rFonts w:hint="eastAsia" w:ascii="宋体" w:hAnsi="宋体"/>
          <w:b/>
          <w:color w:val="000000"/>
          <w:sz w:val="32"/>
          <w:szCs w:val="32"/>
          <w:lang w:val="en-US" w:eastAsia="zh-CN"/>
        </w:rPr>
        <w:t xml:space="preserve">11</w:t>
      </w:r>
      <w:r>
        <w:rPr>
          <w:rFonts w:hint="eastAsia" w:ascii="宋体" w:hAnsi="宋体"/>
          <w:b/>
          <w:color w:val="000000"/>
          <w:sz w:val="32"/>
          <w:szCs w:val="32"/>
        </w:rPr>
        <w:t xml:space="preserve">月</w:t>
      </w:r>
      <w:r>
        <w:rPr>
          <w:rFonts w:ascii="宋体" w:hAnsi="宋体"/>
          <w:b/>
          <w:color w:val="000000"/>
          <w:sz w:val="32"/>
          <w:szCs w:val="32"/>
        </w:rPr>
      </w:r>
      <w:r/>
    </w:p>
    <w:p>
      <w:pPr>
        <w:pStyle w:val="1008"/>
        <w:jc w:val="center"/>
        <w:rPr>
          <w:rFonts w:ascii="宋体" w:hAnsi="宋体"/>
          <w:color w:val="000000"/>
          <w:sz w:val="40"/>
          <w:szCs w:val="28"/>
        </w:rPr>
      </w:pPr>
      <w:r>
        <w:rPr>
          <w:rFonts w:ascii="宋体" w:hAnsi="宋体"/>
          <w:color w:val="000000"/>
          <w:sz w:val="40"/>
          <w:szCs w:val="28"/>
        </w:rPr>
      </w:r>
      <w:r/>
    </w:p>
    <w:p>
      <w:pPr>
        <w:pStyle w:val="1008"/>
        <w:jc w:val="center"/>
        <w:rPr>
          <w:rFonts w:ascii="宋体" w:hAnsi="宋体"/>
          <w:color w:val="000000"/>
          <w:sz w:val="40"/>
          <w:szCs w:val="28"/>
        </w:rPr>
      </w:pPr>
      <w:r>
        <w:rPr>
          <w:rFonts w:hint="eastAsia" w:ascii="宋体" w:hAnsi="宋体"/>
          <w:color w:val="000000"/>
          <w:sz w:val="40"/>
          <w:szCs w:val="28"/>
        </w:rPr>
        <w:t xml:space="preserve">目</w:t>
      </w:r>
      <w:r>
        <w:rPr>
          <w:rFonts w:ascii="宋体" w:hAnsi="宋体"/>
          <w:color w:val="000000"/>
          <w:sz w:val="40"/>
          <w:szCs w:val="28"/>
        </w:rPr>
        <w:t xml:space="preserve"> 录</w:t>
      </w:r>
      <w:r>
        <w:rPr>
          <w:rFonts w:ascii="宋体" w:hAnsi="宋体"/>
          <w:color w:val="000000"/>
          <w:sz w:val="40"/>
          <w:szCs w:val="28"/>
        </w:rPr>
      </w:r>
      <w:r/>
    </w:p>
    <w:p>
      <w:pPr>
        <w:pStyle w:val="1044"/>
        <w:tabs>
          <w:tab w:val="right" w:pos="8306" w:leader="dot"/>
        </w:tabs>
        <w:rPr>
          <w:sz w:val="28"/>
          <w:szCs w:val="32"/>
        </w:rPr>
      </w:pPr>
      <w:r>
        <w:rPr>
          <w:rFonts w:ascii="宋体" w:hAnsi="宋体"/>
          <w:color w:val="000000"/>
          <w:sz w:val="40"/>
          <w:szCs w:val="32"/>
        </w:rPr>
        <w:fldChar w:fldCharType="begin"/>
      </w:r>
      <w:r>
        <w:rPr>
          <w:rFonts w:ascii="宋体" w:hAnsi="宋体"/>
          <w:color w:val="000000"/>
          <w:sz w:val="40"/>
          <w:szCs w:val="32"/>
        </w:rPr>
        <w:instrText xml:space="preserve"> TOC \o "1-3" \f </w:instrText>
      </w:r>
      <w:r>
        <w:rPr>
          <w:rFonts w:ascii="宋体" w:hAnsi="宋体"/>
          <w:color w:val="000000"/>
          <w:sz w:val="40"/>
          <w:szCs w:val="32"/>
        </w:rPr>
        <w:fldChar w:fldCharType="separate"/>
      </w:r>
      <w:r>
        <w:rPr>
          <w:rFonts w:hint="eastAsia" w:ascii="宋体" w:hAnsi="宋体"/>
          <w:color w:val="000000"/>
          <w:sz w:val="28"/>
          <w:szCs w:val="32"/>
        </w:rPr>
        <w:t xml:space="preserve">第一章</w:t>
      </w:r>
      <w:r>
        <w:rPr>
          <w:rFonts w:ascii="宋体" w:hAnsi="宋体"/>
          <w:color w:val="000000"/>
          <w:sz w:val="28"/>
          <w:szCs w:val="32"/>
        </w:rPr>
        <w:t xml:space="preserve"> 竞争性磋商采购</w:t>
      </w:r>
      <w:r>
        <w:rPr>
          <w:rFonts w:hint="eastAsia" w:ascii="宋体" w:hAnsi="宋体"/>
          <w:color w:val="000000"/>
          <w:sz w:val="28"/>
          <w:szCs w:val="32"/>
        </w:rPr>
        <w:t xml:space="preserve">公告</w:t>
      </w:r>
      <w:r>
        <w:rPr>
          <w:sz w:val="28"/>
          <w:szCs w:val="32"/>
        </w:rPr>
        <w:tab/>
      </w:r>
      <w:r>
        <w:rPr>
          <w:sz w:val="28"/>
          <w:szCs w:val="32"/>
        </w:rPr>
        <w:fldChar w:fldCharType="begin"/>
      </w:r>
      <w:r>
        <w:rPr>
          <w:sz w:val="28"/>
          <w:szCs w:val="32"/>
        </w:rPr>
        <w:instrText xml:space="preserve"> PAGEREF _Toc22147 \h </w:instrText>
      </w:r>
      <w:r>
        <w:rPr>
          <w:sz w:val="28"/>
          <w:szCs w:val="32"/>
        </w:rPr>
        <w:fldChar w:fldCharType="separate"/>
      </w:r>
      <w:r>
        <w:rPr>
          <w:sz w:val="28"/>
          <w:szCs w:val="32"/>
        </w:rPr>
        <w:t xml:space="preserve">1</w:t>
      </w:r>
      <w:r>
        <w:rPr>
          <w:sz w:val="28"/>
          <w:szCs w:val="32"/>
        </w:rPr>
        <w:fldChar w:fldCharType="end"/>
      </w:r>
      <w:r>
        <w:rPr>
          <w:sz w:val="28"/>
          <w:szCs w:val="32"/>
        </w:rPr>
      </w:r>
      <w:r/>
    </w:p>
    <w:p>
      <w:pPr>
        <w:pStyle w:val="1044"/>
        <w:tabs>
          <w:tab w:val="right" w:pos="8306" w:leader="dot"/>
        </w:tabs>
        <w:rPr>
          <w:rFonts w:hint="eastAsia" w:eastAsia="宋体"/>
          <w:sz w:val="28"/>
          <w:szCs w:val="32"/>
          <w:lang w:eastAsia="zh-CN"/>
        </w:rPr>
      </w:pPr>
      <w:r>
        <w:rPr>
          <w:rFonts w:hint="eastAsia" w:ascii="宋体" w:hAnsi="宋体"/>
          <w:color w:val="000000"/>
          <w:sz w:val="28"/>
          <w:szCs w:val="32"/>
        </w:rPr>
        <w:t xml:space="preserve">第二章 磋商须知</w:t>
      </w:r>
      <w:r>
        <w:rPr>
          <w:sz w:val="28"/>
          <w:szCs w:val="32"/>
        </w:rPr>
        <w:tab/>
      </w:r>
      <w:r>
        <w:rPr>
          <w:rFonts w:hint="eastAsia"/>
          <w:sz w:val="28"/>
          <w:szCs w:val="32"/>
          <w:lang w:val="en-US" w:eastAsia="zh-CN"/>
        </w:rPr>
        <w:t xml:space="preserve">5</w:t>
      </w:r>
      <w:r>
        <w:rPr>
          <w:rFonts w:hint="eastAsia" w:eastAsia="宋体"/>
          <w:sz w:val="28"/>
          <w:szCs w:val="32"/>
          <w:lang w:eastAsia="zh-CN"/>
        </w:rPr>
      </w:r>
      <w:r/>
    </w:p>
    <w:p>
      <w:pPr>
        <w:pStyle w:val="1044"/>
        <w:tabs>
          <w:tab w:val="right" w:pos="8306" w:leader="dot"/>
        </w:tabs>
        <w:rPr>
          <w:sz w:val="28"/>
          <w:szCs w:val="32"/>
        </w:rPr>
      </w:pPr>
      <w:r>
        <w:rPr>
          <w:rFonts w:hint="eastAsia" w:ascii="宋体" w:hAnsi="宋体"/>
          <w:color w:val="000000"/>
          <w:sz w:val="28"/>
          <w:szCs w:val="32"/>
        </w:rPr>
        <w:t xml:space="preserve">第三章 合同条款及格式</w:t>
      </w:r>
      <w:r>
        <w:rPr>
          <w:sz w:val="28"/>
          <w:szCs w:val="32"/>
        </w:rPr>
        <w:tab/>
      </w:r>
      <w:r>
        <w:rPr>
          <w:rFonts w:hint="eastAsia"/>
          <w:sz w:val="28"/>
          <w:szCs w:val="32"/>
          <w:lang w:val="en-US" w:eastAsia="zh-CN"/>
        </w:rPr>
        <w:t xml:space="preserve">15</w:t>
      </w:r>
      <w:r>
        <w:rPr>
          <w:sz w:val="28"/>
          <w:szCs w:val="32"/>
        </w:rPr>
      </w:r>
      <w:r/>
    </w:p>
    <w:p>
      <w:pPr>
        <w:pStyle w:val="1044"/>
        <w:tabs>
          <w:tab w:val="right" w:pos="8306" w:leader="dot"/>
        </w:tabs>
        <w:rPr>
          <w:sz w:val="28"/>
          <w:szCs w:val="32"/>
        </w:rPr>
      </w:pPr>
      <w:r>
        <w:rPr>
          <w:rFonts w:hint="eastAsia"/>
          <w:color w:val="000000"/>
          <w:sz w:val="28"/>
          <w:szCs w:val="32"/>
        </w:rPr>
        <w:t xml:space="preserve">第四章 </w:t>
      </w:r>
      <w:r>
        <w:rPr>
          <w:color w:val="000000"/>
          <w:sz w:val="28"/>
          <w:szCs w:val="32"/>
        </w:rPr>
        <w:t xml:space="preserve">项目需求</w:t>
      </w:r>
      <w:r>
        <w:rPr>
          <w:sz w:val="28"/>
          <w:szCs w:val="32"/>
        </w:rPr>
        <w:tab/>
      </w:r>
      <w:r>
        <w:rPr>
          <w:sz w:val="28"/>
          <w:szCs w:val="32"/>
        </w:rPr>
        <w:fldChar w:fldCharType="begin"/>
      </w:r>
      <w:r>
        <w:rPr>
          <w:sz w:val="28"/>
          <w:szCs w:val="32"/>
        </w:rPr>
        <w:instrText xml:space="preserve"> PAGEREF _Toc18229 \h </w:instrText>
      </w:r>
      <w:r>
        <w:rPr>
          <w:sz w:val="28"/>
          <w:szCs w:val="32"/>
        </w:rPr>
        <w:fldChar w:fldCharType="separate"/>
      </w:r>
      <w:r>
        <w:rPr>
          <w:sz w:val="28"/>
          <w:szCs w:val="32"/>
        </w:rPr>
        <w:t xml:space="preserve">20</w:t>
      </w:r>
      <w:r>
        <w:rPr>
          <w:sz w:val="28"/>
          <w:szCs w:val="32"/>
        </w:rPr>
        <w:fldChar w:fldCharType="end"/>
      </w:r>
      <w:r>
        <w:rPr>
          <w:sz w:val="28"/>
          <w:szCs w:val="32"/>
        </w:rPr>
      </w:r>
      <w:r/>
    </w:p>
    <w:p>
      <w:pPr>
        <w:pStyle w:val="1044"/>
        <w:tabs>
          <w:tab w:val="right" w:pos="8306" w:leader="dot"/>
        </w:tabs>
        <w:rPr>
          <w:rFonts w:eastAsia="宋体"/>
          <w:sz w:val="28"/>
          <w:szCs w:val="32"/>
          <w:lang w:val="en-US" w:eastAsia="zh-CN"/>
        </w:rPr>
      </w:pPr>
      <w:r>
        <w:rPr>
          <w:rFonts w:hint="eastAsia"/>
          <w:color w:val="000000"/>
          <w:sz w:val="28"/>
          <w:szCs w:val="32"/>
        </w:rPr>
        <w:t xml:space="preserve">第五章 评审方法和评审标准</w:t>
      </w:r>
      <w:r>
        <w:rPr>
          <w:sz w:val="28"/>
          <w:szCs w:val="32"/>
        </w:rPr>
        <w:tab/>
      </w:r>
      <w:r>
        <w:rPr>
          <w:rFonts w:hint="eastAsia"/>
          <w:sz w:val="28"/>
          <w:szCs w:val="32"/>
          <w:lang w:val="en-US" w:eastAsia="zh-CN"/>
        </w:rPr>
        <w:t xml:space="preserve">22</w:t>
      </w:r>
      <w:r>
        <w:rPr>
          <w:rFonts w:eastAsia="宋体"/>
          <w:sz w:val="28"/>
          <w:szCs w:val="32"/>
          <w:lang w:val="en-US" w:eastAsia="zh-CN"/>
        </w:rPr>
      </w:r>
      <w:r/>
    </w:p>
    <w:p>
      <w:pPr>
        <w:pStyle w:val="1044"/>
        <w:tabs>
          <w:tab w:val="right" w:pos="8306" w:leader="dot"/>
        </w:tabs>
        <w:rPr>
          <w:rFonts w:eastAsia="宋体"/>
          <w:sz w:val="28"/>
          <w:szCs w:val="32"/>
          <w:lang w:val="en-US" w:eastAsia="zh-CN"/>
        </w:rPr>
      </w:pPr>
      <w:r>
        <w:rPr>
          <w:rFonts w:hint="eastAsia" w:ascii="宋体" w:hAnsi="宋体"/>
          <w:color w:val="000000"/>
          <w:sz w:val="28"/>
          <w:szCs w:val="32"/>
        </w:rPr>
        <w:t xml:space="preserve">第六章 竞争性磋商响应文件格式</w:t>
      </w:r>
      <w:r>
        <w:rPr>
          <w:sz w:val="28"/>
          <w:szCs w:val="32"/>
        </w:rPr>
        <w:tab/>
      </w:r>
      <w:r>
        <w:rPr>
          <w:rFonts w:hint="eastAsia"/>
          <w:sz w:val="28"/>
          <w:szCs w:val="32"/>
          <w:lang w:val="en-US" w:eastAsia="zh-CN"/>
        </w:rPr>
        <w:t xml:space="preserve">25</w:t>
      </w:r>
      <w:r>
        <w:rPr>
          <w:rFonts w:eastAsia="宋体"/>
          <w:sz w:val="28"/>
          <w:szCs w:val="32"/>
          <w:lang w:val="en-US" w:eastAsia="zh-CN"/>
        </w:rPr>
      </w:r>
      <w:r/>
    </w:p>
    <w:p>
      <w:pPr>
        <w:pStyle w:val="1008"/>
        <w:jc w:val="center"/>
        <w:spacing w:line="460" w:lineRule="exact"/>
        <w:rPr>
          <w:rFonts w:ascii="宋体" w:hAnsi="宋体"/>
          <w:color w:val="000000"/>
          <w:sz w:val="28"/>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olor w:val="000000"/>
          <w:sz w:val="28"/>
          <w:szCs w:val="32"/>
        </w:rPr>
        <w:fldChar w:fldCharType="end"/>
      </w:r>
      <w:r>
        <w:rPr>
          <w:rFonts w:ascii="宋体" w:hAnsi="宋体"/>
          <w:color w:val="000000"/>
          <w:sz w:val="28"/>
        </w:rPr>
      </w:r>
      <w:r/>
    </w:p>
    <w:p>
      <w:pPr>
        <w:pStyle w:val="1009"/>
        <w:jc w:val="center"/>
        <w:spacing w:line="480" w:lineRule="auto"/>
        <w:rPr>
          <w:rFonts w:ascii="宋体" w:hAnsi="宋体" w:cs="宋体"/>
          <w:color w:val="000000"/>
          <w:sz w:val="21"/>
          <w:szCs w:val="21"/>
        </w:rPr>
      </w:pPr>
      <w:r/>
      <w:bookmarkStart w:id="0" w:name="_Toc22147"/>
      <w:r>
        <w:rPr>
          <w:rFonts w:hint="eastAsia" w:ascii="宋体" w:hAnsi="宋体"/>
          <w:color w:val="000000"/>
          <w:sz w:val="36"/>
        </w:rPr>
        <w:t xml:space="preserve">第一章</w:t>
      </w:r>
      <w:r>
        <w:rPr>
          <w:rFonts w:ascii="宋体" w:hAnsi="宋体"/>
          <w:color w:val="000000"/>
          <w:sz w:val="36"/>
        </w:rPr>
        <w:t xml:space="preserve"> 竞争性磋商采购</w:t>
      </w:r>
      <w:r>
        <w:rPr>
          <w:rFonts w:hint="eastAsia" w:ascii="宋体" w:hAnsi="宋体"/>
          <w:color w:val="000000"/>
          <w:sz w:val="36"/>
        </w:rPr>
        <w:t xml:space="preserve">公告</w:t>
      </w:r>
      <w:bookmarkEnd w:id="0"/>
      <w:r/>
      <w:bookmarkStart w:id="1" w:name="_Toc5095381"/>
      <w:r>
        <w:rPr>
          <w:rFonts w:ascii="宋体" w:hAnsi="宋体" w:cs="宋体"/>
          <w:color w:val="000000"/>
          <w:sz w:val="21"/>
          <w:szCs w:val="21"/>
        </w:rPr>
      </w:r>
      <w:r/>
    </w:p>
    <w:p>
      <w:pPr>
        <w:pStyle w:val="1008"/>
        <w:ind w:firstLine="422"/>
        <w:rPr>
          <w:rFonts w:ascii="宋体" w:hAnsi="宋体" w:cs="宋体"/>
          <w:b/>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rPr>
        <w:t xml:space="preserve">项目概况</w:t>
      </w:r>
      <w:r>
        <w:rPr>
          <w:rFonts w:ascii="宋体" w:hAnsi="宋体" w:cs="宋体"/>
          <w:b/>
          <w:bCs/>
          <w:color w:val="000000"/>
          <w:szCs w:val="21"/>
        </w:rPr>
      </w:r>
      <w:r/>
    </w:p>
    <w:p>
      <w:pPr>
        <w:pStyle w:val="1008"/>
        <w:ind w:firstLine="420"/>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eastAsia="zh-CN"/>
        </w:rPr>
        <w:t xml:space="preserve">仪征市发改委“十五五”专项规划编制服务项目（二次）</w:t>
      </w:r>
      <w:r>
        <w:rPr>
          <w:rFonts w:hint="eastAsia" w:ascii="宋体" w:hAnsi="宋体" w:cs="宋体"/>
          <w:color w:val="000000"/>
          <w:szCs w:val="21"/>
        </w:rPr>
        <w:t xml:space="preserve">采购项目的潜在供应商应在</w:t>
      </w:r>
      <w:r>
        <w:rPr>
          <w:rFonts w:hint="eastAsia" w:ascii="宋体" w:hAnsi="宋体" w:cs="宋体"/>
          <w:color w:val="000000"/>
          <w:szCs w:val="21"/>
          <w:u w:val="single"/>
        </w:rPr>
        <w:t xml:space="preserve">“仪征市政府采购网”、“扬州市政府采购网”、“江苏省政府采购网”、“中国政府采购网”自行免费下载采购文件</w:t>
      </w:r>
      <w:r>
        <w:rPr>
          <w:rFonts w:hint="eastAsia" w:ascii="宋体" w:hAnsi="宋体" w:cs="宋体"/>
          <w:color w:val="000000"/>
          <w:szCs w:val="21"/>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15</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ascii="宋体" w:hAnsi="宋体" w:cs="宋体"/>
          <w:color w:val="000000"/>
          <w:szCs w:val="21"/>
        </w:rPr>
      </w:r>
      <w:r/>
    </w:p>
    <w:p>
      <w:pPr>
        <w:pStyle w:val="1008"/>
        <w:rPr>
          <w:b/>
          <w:bCs/>
        </w:rPr>
      </w:pPr>
      <w:r/>
      <w:bookmarkStart w:id="2" w:name="_Toc2146"/>
      <w:r/>
      <w:bookmarkStart w:id="3" w:name="_Toc35393798"/>
      <w:r/>
      <w:bookmarkStart w:id="4" w:name="_Toc28359012"/>
      <w:r/>
      <w:bookmarkStart w:id="5" w:name="_Toc28359089"/>
      <w:r/>
      <w:bookmarkStart w:id="6" w:name="_Toc35393629"/>
      <w:r>
        <w:rPr>
          <w:rFonts w:hint="eastAsia"/>
          <w:b/>
          <w:bCs/>
        </w:rPr>
        <w:t xml:space="preserve">一、项目基本情况</w:t>
      </w:r>
      <w:bookmarkEnd w:id="2"/>
      <w:r/>
      <w:bookmarkEnd w:id="3"/>
      <w:r/>
      <w:bookmarkEnd w:id="4"/>
      <w:r/>
      <w:bookmarkEnd w:id="5"/>
      <w:r/>
      <w:bookmarkEnd w:id="6"/>
      <w:r>
        <w:rPr>
          <w:b/>
          <w:bCs/>
        </w:rPr>
      </w:r>
      <w:r/>
    </w:p>
    <w:p>
      <w:pPr>
        <w:pStyle w:val="1008"/>
        <w:ind w:firstLine="420"/>
        <w:rPr>
          <w:rFonts w:ascii="宋体" w:hAnsi="宋体" w:eastAsia="宋体" w:cs="宋体"/>
          <w:color w:val="000000"/>
          <w:szCs w:val="21"/>
          <w:lang w:val="en-US" w:eastAsia="zh-CN"/>
        </w:rPr>
      </w:pPr>
      <w:r>
        <w:rPr>
          <w:rFonts w:hint="eastAsia" w:ascii="宋体" w:hAnsi="宋体" w:cs="宋体"/>
          <w:color w:val="000000"/>
          <w:szCs w:val="21"/>
        </w:rPr>
        <w:t xml:space="preserve">项目编号：</w:t>
      </w:r>
      <w:r>
        <w:rPr>
          <w:rFonts w:hint="eastAsia" w:ascii="宋体" w:hAnsi="宋体" w:cs="宋体"/>
          <w:color w:val="000000"/>
          <w:szCs w:val="21"/>
          <w:lang w:val="en-US" w:eastAsia="zh-CN"/>
        </w:rPr>
        <w:t xml:space="preserve">JSXYYY-2025-11</w:t>
      </w:r>
      <w:r>
        <w:rPr>
          <w:rFonts w:ascii="宋体" w:hAnsi="宋体" w:eastAsia="宋体" w:cs="宋体"/>
          <w:color w:val="000000"/>
          <w:szCs w:val="21"/>
          <w:lang w:val="en-US" w:eastAsia="zh-CN"/>
        </w:rPr>
      </w:r>
      <w:r/>
    </w:p>
    <w:p>
      <w:pPr>
        <w:pStyle w:val="1008"/>
        <w:ind w:firstLine="420"/>
        <w:rPr>
          <w:rFonts w:hint="eastAsia" w:ascii="宋体" w:hAnsi="宋体" w:eastAsia="宋体" w:cs="宋体"/>
          <w:color w:val="000000"/>
          <w:szCs w:val="21"/>
          <w:lang w:eastAsia="zh-CN"/>
        </w:rPr>
      </w:pPr>
      <w:r>
        <w:rPr>
          <w:rFonts w:hint="eastAsia" w:ascii="宋体" w:hAnsi="宋体" w:cs="宋体"/>
          <w:color w:val="000000"/>
          <w:szCs w:val="21"/>
        </w:rPr>
        <w:t xml:space="preserve">项目名称：</w:t>
      </w:r>
      <w:r>
        <w:rPr>
          <w:rFonts w:hint="eastAsia" w:ascii="宋体" w:hAnsi="宋体" w:cs="宋体"/>
          <w:color w:val="000000"/>
          <w:szCs w:val="21"/>
          <w:lang w:eastAsia="zh-CN"/>
        </w:rPr>
        <w:t xml:space="preserve">仪征市发改委“十五五”专项规划编制服务项目（二次）</w:t>
      </w:r>
      <w:r>
        <w:rPr>
          <w:rFonts w:hint="eastAsia" w:ascii="宋体" w:hAnsi="宋体" w:eastAsia="宋体" w:cs="宋体"/>
          <w:color w:val="000000"/>
          <w:szCs w:val="21"/>
          <w:lang w:eastAsia="zh-CN"/>
        </w:rPr>
      </w:r>
      <w:r/>
    </w:p>
    <w:p>
      <w:pPr>
        <w:pStyle w:val="1008"/>
        <w:ind w:firstLine="420"/>
        <w:rPr>
          <w:rFonts w:ascii="宋体" w:hAnsi="宋体" w:cs="宋体"/>
          <w:color w:val="000000"/>
          <w:szCs w:val="21"/>
        </w:rPr>
      </w:pPr>
      <w:r>
        <w:rPr>
          <w:rFonts w:hint="eastAsia" w:ascii="宋体" w:hAnsi="宋体" w:cs="宋体"/>
          <w:color w:val="000000"/>
          <w:szCs w:val="21"/>
        </w:rPr>
        <w:t xml:space="preserve">采购方式：□竞争性谈判 </w:t>
      </w:r>
      <w:r>
        <w:rPr>
          <w:rFonts w:hint="eastAsia" w:ascii="宋体" w:hAnsi="宋体" w:cs="宋体"/>
          <w:color w:val="000000"/>
          <w:szCs w:val="21"/>
          <w:lang w:eastAsia="zh-CN"/>
        </w:rPr>
        <w:t xml:space="preserve">☑</w:t>
      </w:r>
      <w:r>
        <w:rPr>
          <w:rFonts w:hint="eastAsia" w:ascii="宋体" w:hAnsi="宋体" w:cs="宋体"/>
          <w:color w:val="000000"/>
          <w:szCs w:val="21"/>
        </w:rPr>
        <w:t xml:space="preserve">竞争性磋商 □询价</w:t>
      </w:r>
      <w:r>
        <w:rPr>
          <w:rFonts w:ascii="宋体" w:hAnsi="宋体" w:cs="宋体"/>
          <w:color w:val="000000"/>
          <w:szCs w:val="21"/>
        </w:rPr>
      </w:r>
      <w:r/>
    </w:p>
    <w:p>
      <w:pPr>
        <w:pStyle w:val="1008"/>
        <w:ind w:firstLine="420"/>
        <w:rPr>
          <w:rFonts w:ascii="宋体" w:hAnsi="宋体" w:cs="宋体"/>
          <w:color w:val="000000"/>
          <w:szCs w:val="21"/>
        </w:rPr>
      </w:pPr>
      <w:r>
        <w:rPr>
          <w:rFonts w:hint="eastAsia" w:ascii="宋体" w:hAnsi="宋体" w:cs="宋体"/>
          <w:color w:val="000000"/>
          <w:szCs w:val="21"/>
        </w:rPr>
        <w:t xml:space="preserve">预算金额：</w:t>
      </w:r>
      <w:r>
        <w:rPr>
          <w:rFonts w:hint="eastAsia" w:ascii="宋体" w:hAnsi="宋体" w:cs="宋体"/>
          <w:color w:val="000000"/>
          <w:szCs w:val="21"/>
          <w:lang w:val="en-US" w:eastAsia="zh-CN"/>
        </w:rPr>
        <w:t xml:space="preserve">90</w:t>
      </w:r>
      <w:r>
        <w:rPr>
          <w:rFonts w:hint="eastAsia" w:ascii="宋体" w:hAnsi="宋体" w:cs="宋体"/>
          <w:color w:val="000000"/>
          <w:szCs w:val="21"/>
        </w:rPr>
        <w:t xml:space="preserve">万</w:t>
      </w:r>
      <w:r>
        <w:rPr>
          <w:rFonts w:ascii="宋体" w:hAnsi="宋体" w:cs="宋体"/>
          <w:color w:val="000000"/>
          <w:szCs w:val="21"/>
        </w:rPr>
      </w:r>
      <w:r/>
    </w:p>
    <w:p>
      <w:pPr>
        <w:pStyle w:val="1008"/>
        <w:ind w:firstLine="420"/>
        <w:rPr>
          <w:rFonts w:ascii="宋体" w:hAnsi="宋体" w:cs="宋体"/>
          <w:color w:val="000000"/>
          <w:szCs w:val="21"/>
        </w:rPr>
      </w:pPr>
      <w:r>
        <w:rPr>
          <w:rFonts w:hint="eastAsia" w:ascii="宋体" w:hAnsi="宋体" w:cs="宋体"/>
          <w:color w:val="000000"/>
          <w:szCs w:val="21"/>
        </w:rPr>
        <w:t xml:space="preserve">最高限价：</w:t>
      </w:r>
      <w:r>
        <w:rPr>
          <w:rFonts w:hint="eastAsia" w:ascii="宋体" w:hAnsi="宋体" w:cs="宋体"/>
          <w:color w:val="000000"/>
          <w:szCs w:val="21"/>
          <w:lang w:val="en-US" w:eastAsia="zh-CN"/>
        </w:rPr>
        <w:t xml:space="preserve">90</w:t>
      </w:r>
      <w:r>
        <w:rPr>
          <w:rFonts w:hint="eastAsia" w:ascii="宋体" w:hAnsi="宋体" w:cs="宋体"/>
          <w:color w:val="000000"/>
          <w:szCs w:val="21"/>
        </w:rPr>
        <w:t xml:space="preserve">万，报价超过最高限价的为无效报价，按照无效响应处理。</w:t>
      </w:r>
      <w:r>
        <w:rPr>
          <w:rFonts w:ascii="宋体" w:hAnsi="宋体" w:cs="宋体"/>
          <w:color w:val="000000"/>
          <w:szCs w:val="21"/>
        </w:rPr>
      </w:r>
      <w:r/>
    </w:p>
    <w:p>
      <w:pPr>
        <w:pStyle w:val="1008"/>
        <w:ind w:firstLine="420"/>
        <w:rPr>
          <w:rFonts w:ascii="宋体" w:hAnsi="宋体" w:cs="宋体"/>
          <w:color w:val="000000"/>
          <w:szCs w:val="21"/>
        </w:rPr>
      </w:pPr>
      <w:r>
        <w:rPr>
          <w:rFonts w:hint="eastAsia" w:ascii="宋体" w:hAnsi="宋体" w:cs="宋体"/>
          <w:color w:val="000000"/>
          <w:szCs w:val="21"/>
        </w:rPr>
        <w:t xml:space="preserve">采购需求：详见招标文件第四章</w:t>
      </w:r>
      <w:r>
        <w:rPr>
          <w:rFonts w:ascii="宋体" w:hAnsi="宋体" w:cs="宋体"/>
          <w:color w:val="000000"/>
          <w:szCs w:val="21"/>
        </w:rPr>
      </w:r>
      <w:r/>
    </w:p>
    <w:p>
      <w:pPr>
        <w:pStyle w:val="1008"/>
        <w:ind w:firstLine="420"/>
        <w:rPr>
          <w:rFonts w:ascii="宋体" w:hAnsi="宋体" w:cs="宋体"/>
          <w:color w:val="000000"/>
          <w:szCs w:val="21"/>
          <w:highlight w:val="yellow"/>
        </w:rPr>
      </w:pPr>
      <w:r>
        <w:rPr>
          <w:rFonts w:hint="eastAsia" w:ascii="宋体" w:hAnsi="宋体" w:cs="宋体"/>
          <w:color w:val="000000"/>
          <w:szCs w:val="21"/>
          <w:highlight w:val="none"/>
        </w:rPr>
        <w:t xml:space="preserve">合同履行期限：</w:t>
      </w:r>
      <w:r>
        <w:rPr>
          <w:rFonts w:hint="eastAsia"/>
          <w:highlight w:val="none"/>
        </w:rPr>
        <w:t xml:space="preserve">自合同签订之日起</w:t>
      </w:r>
      <w:r>
        <w:rPr>
          <w:rFonts w:hint="eastAsia"/>
          <w:highlight w:val="none"/>
          <w:lang w:val="en-US" w:eastAsia="zh-CN"/>
        </w:rPr>
        <w:t xml:space="preserve">8个月内完成</w:t>
      </w:r>
      <w:r>
        <w:rPr>
          <w:rFonts w:hint="eastAsia" w:ascii="宋体" w:hAnsi="宋体" w:cs="宋体"/>
          <w:color w:val="000000"/>
          <w:szCs w:val="21"/>
          <w:highlight w:val="none"/>
        </w:rPr>
        <w:t xml:space="preserve">。</w:t>
      </w:r>
      <w:r>
        <w:rPr>
          <w:rFonts w:ascii="宋体" w:hAnsi="宋体" w:cs="宋体"/>
          <w:color w:val="000000"/>
          <w:szCs w:val="21"/>
          <w:highlight w:val="yellow"/>
        </w:rPr>
      </w:r>
      <w:r/>
    </w:p>
    <w:p>
      <w:pPr>
        <w:pStyle w:val="1008"/>
        <w:ind w:firstLine="420"/>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本项目不接受联合体投标。</w:t>
      </w:r>
      <w:r>
        <w:rPr>
          <w:rFonts w:ascii="宋体" w:hAnsi="宋体" w:eastAsia="宋体" w:cs="宋体"/>
          <w:color w:val="000000"/>
          <w:szCs w:val="21"/>
          <w:highlight w:val="none"/>
          <w:lang w:val="en-US" w:eastAsia="zh-CN"/>
        </w:rPr>
      </w:r>
      <w:r/>
    </w:p>
    <w:p>
      <w:pPr>
        <w:pStyle w:val="1008"/>
        <w:rPr>
          <w:b/>
          <w:bCs/>
          <w:lang w:val="en-US" w:eastAsia="zh-CN"/>
        </w:rPr>
      </w:pPr>
      <w:r/>
      <w:bookmarkStart w:id="7" w:name="_Toc28359090"/>
      <w:r/>
      <w:bookmarkStart w:id="8" w:name="_Toc35393799"/>
      <w:r/>
      <w:bookmarkStart w:id="9" w:name="_Toc35393630"/>
      <w:r/>
      <w:bookmarkStart w:id="10" w:name="_Toc28359013"/>
      <w:r/>
      <w:bookmarkStart w:id="11" w:name="_Toc16534"/>
      <w:r>
        <w:rPr>
          <w:rFonts w:hint="eastAsia"/>
          <w:b/>
          <w:bCs/>
        </w:rPr>
        <w:t xml:space="preserve">二、申请人的资格要求：</w:t>
      </w:r>
      <w:bookmarkEnd w:id="7"/>
      <w:r/>
      <w:bookmarkEnd w:id="8"/>
      <w:r/>
      <w:bookmarkEnd w:id="9"/>
      <w:r/>
      <w:bookmarkEnd w:id="10"/>
      <w:r/>
      <w:bookmarkEnd w:id="11"/>
      <w:r>
        <w:rPr>
          <w:b/>
          <w:bCs/>
          <w:lang w:val="en-US" w:eastAsia="zh-CN"/>
        </w:rPr>
      </w:r>
      <w:r/>
    </w:p>
    <w:p>
      <w:pPr>
        <w:pStyle w:val="1008"/>
        <w:ind w:firstLine="420"/>
        <w:spacing w:line="360" w:lineRule="auto"/>
        <w:rPr>
          <w:rFonts w:ascii="宋体" w:hAnsi="宋体" w:cs="宋体"/>
          <w:color w:val="000000"/>
          <w:szCs w:val="21"/>
        </w:rPr>
      </w:pPr>
      <w:r/>
      <w:bookmarkStart w:id="12" w:name="_Toc18329"/>
      <w:r/>
      <w:bookmarkStart w:id="13" w:name="_Toc35393636"/>
      <w:r/>
      <w:bookmarkStart w:id="14" w:name="_Toc28359018"/>
      <w:r/>
      <w:bookmarkStart w:id="15" w:name="_Toc28359095"/>
      <w:r/>
      <w:bookmarkStart w:id="16" w:name="_Toc35393805"/>
      <w:r>
        <w:rPr>
          <w:rFonts w:hint="eastAsia" w:ascii="宋体" w:hAnsi="宋体" w:cs="宋体"/>
          <w:color w:val="000000"/>
          <w:szCs w:val="21"/>
        </w:rPr>
        <w:t xml:space="preserve">1.满足《中华人民共和国政府采购法》第二十二条规定，并提供下列材料：</w:t>
      </w:r>
      <w:r>
        <w:rPr>
          <w:rFonts w:ascii="宋体" w:hAnsi="宋体" w:cs="宋体"/>
          <w:color w:val="000000"/>
          <w:szCs w:val="21"/>
        </w:rPr>
      </w:r>
      <w:r/>
    </w:p>
    <w:p>
      <w:pPr>
        <w:pStyle w:val="100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1008"/>
        <w:ind w:firstLine="420"/>
        <w:spacing w:line="360" w:lineRule="auto"/>
        <w:rPr>
          <w:rFonts w:ascii="宋体" w:hAnsi="宋体" w:eastAsia="宋体" w:cs="宋体"/>
          <w:b/>
          <w:bCs/>
          <w:i/>
          <w:iCs/>
          <w:color w:val="000000"/>
          <w:szCs w:val="21"/>
          <w:highlight w:val="none"/>
          <w:u w:val="single"/>
          <w:lang w:val="en-US" w:eastAsia="zh-CN"/>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eastAsia="宋体" w:cs="宋体"/>
          <w:b/>
          <w:bCs/>
          <w:i/>
          <w:iCs/>
          <w:color w:val="000000"/>
          <w:szCs w:val="21"/>
          <w:highlight w:val="none"/>
          <w:u w:val="single"/>
          <w:lang w:val="en-US" w:eastAsia="zh-CN"/>
        </w:rPr>
      </w:r>
      <w:r/>
    </w:p>
    <w:p>
      <w:pPr>
        <w:pStyle w:val="1008"/>
        <w:ind w:firstLine="420"/>
        <w:spacing w:line="360" w:lineRule="auto"/>
        <w:rPr>
          <w:rFonts w:ascii="宋体" w:hAnsi="宋体" w:eastAsia="宋体"/>
          <w:b/>
          <w:bCs/>
          <w:i/>
          <w:iCs/>
          <w:color w:val="000000"/>
          <w:highlight w:val="none"/>
          <w:u w:val="single"/>
          <w:lang w:val="en-US" w:eastAsia="zh-CN"/>
        </w:rPr>
      </w:pPr>
      <w:r>
        <w:rPr>
          <w:rFonts w:hint="eastAsia" w:ascii="宋体" w:hAnsi="宋体" w:cs="宋体"/>
          <w:i/>
          <w:iCs/>
          <w:color w:val="000000"/>
          <w:szCs w:val="21"/>
          <w:highlight w:val="none"/>
          <w:u w:val="single"/>
        </w:rPr>
        <w:t xml:space="preserve">1.3 投标人近三个月内任意一份依法纳税的缴款凭证</w:t>
      </w:r>
      <w:r>
        <w:rPr>
          <w:rFonts w:hint="eastAsia" w:ascii="宋体" w:hAnsi="宋体" w:cs="宋体"/>
          <w:b/>
          <w:bCs/>
          <w:i/>
          <w:iCs/>
          <w:color w:val="000000"/>
          <w:szCs w:val="21"/>
          <w:highlight w:val="none"/>
          <w:u w:val="single"/>
        </w:rPr>
        <w:t xml:space="preserve">（投标人依法享受缓缴、免缴的提供证明材料）</w:t>
      </w:r>
      <w:r>
        <w:rPr>
          <w:rFonts w:ascii="宋体" w:hAnsi="宋体" w:eastAsia="宋体"/>
          <w:b/>
          <w:bCs/>
          <w:i/>
          <w:iCs/>
          <w:color w:val="000000"/>
          <w:highlight w:val="none"/>
          <w:u w:val="single"/>
          <w:lang w:val="en-US" w:eastAsia="zh-CN"/>
        </w:rPr>
      </w:r>
      <w:r/>
    </w:p>
    <w:p>
      <w:pPr>
        <w:pStyle w:val="1008"/>
        <w:ind w:firstLine="420"/>
        <w:spacing w:line="360" w:lineRule="auto"/>
        <w:rPr>
          <w:rFonts w:ascii="宋体" w:hAnsi="宋体" w:eastAsia="宋体" w:cs="宋体"/>
          <w:b/>
          <w:bCs/>
          <w:i/>
          <w:iCs/>
          <w:color w:val="000000"/>
          <w:szCs w:val="21"/>
          <w:highlight w:val="none"/>
          <w:u w:val="single"/>
          <w:lang w:val="en-US" w:eastAsia="zh-CN"/>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rPr>
          <w:rFonts w:ascii="宋体" w:hAnsi="宋体" w:eastAsia="宋体" w:cs="宋体"/>
          <w:b/>
          <w:bCs/>
          <w:i/>
          <w:iCs/>
          <w:color w:val="000000"/>
          <w:szCs w:val="21"/>
          <w:highlight w:val="none"/>
          <w:u w:val="single"/>
          <w:lang w:val="en-US" w:eastAsia="zh-CN"/>
        </w:rPr>
      </w:r>
      <w:r/>
    </w:p>
    <w:p>
      <w:pPr>
        <w:pStyle w:val="1008"/>
        <w:ind w:firstLine="420"/>
        <w:spacing w:line="360" w:lineRule="auto"/>
        <w:rPr>
          <w:rFonts w:ascii="宋体" w:hAnsi="宋体" w:eastAsia="宋体" w:cs="宋体"/>
          <w:i/>
          <w:iCs/>
          <w:color w:val="000000"/>
          <w:szCs w:val="21"/>
          <w:highlight w:val="red"/>
          <w:u w:val="single"/>
          <w:lang w:val="en-US" w:eastAsia="zh-CN"/>
        </w:rPr>
      </w:pPr>
      <w:r>
        <w:rPr>
          <w:rFonts w:hint="eastAsia" w:ascii="宋体" w:hAnsi="宋体" w:cs="宋体"/>
          <w:i/>
          <w:iCs/>
          <w:color w:val="000000"/>
          <w:szCs w:val="21"/>
          <w:highlight w:val="none"/>
          <w:u w:val="single"/>
        </w:rPr>
        <w:t xml:space="preserve">1.5 </w:t>
      </w:r>
      <w:r>
        <w:rPr>
          <w:rFonts w:hint="eastAsia" w:ascii="宋体" w:hAnsi="宋体" w:cs="宋体"/>
          <w:i/>
          <w:iCs/>
          <w:color w:val="000000"/>
          <w:szCs w:val="21"/>
          <w:u w:val="single"/>
        </w:rPr>
        <w:t xml:space="preserve">具备履行合同所必需的设备和专业技术能力的证明材料</w:t>
      </w:r>
      <w:r>
        <w:rPr>
          <w:rFonts w:ascii="宋体" w:hAnsi="宋体" w:eastAsia="宋体" w:cs="宋体"/>
          <w:i/>
          <w:iCs/>
          <w:color w:val="000000"/>
          <w:szCs w:val="21"/>
          <w:highlight w:val="red"/>
          <w:u w:val="single"/>
          <w:lang w:val="en-US" w:eastAsia="zh-CN"/>
        </w:rPr>
      </w:r>
      <w:r/>
    </w:p>
    <w:p>
      <w:pPr>
        <w:pStyle w:val="100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6</w:t>
      </w:r>
      <w:r>
        <w:rPr>
          <w:rFonts w:hint="eastAsia" w:ascii="宋体" w:hAnsi="宋体" w:cs="宋体"/>
          <w:i/>
          <w:iCs/>
          <w:color w:val="000000"/>
          <w:szCs w:val="21"/>
          <w:u w:val="single"/>
        </w:rPr>
        <w:t xml:space="preserve"> 参加本次政府采购活动前3年内在经营活动中没有重大违法记录的书面声明</w:t>
      </w:r>
      <w:r>
        <w:rPr>
          <w:rFonts w:hint="eastAsia" w:ascii="宋体" w:hAnsi="宋体" w:cs="宋体"/>
          <w:i/>
          <w:iCs/>
          <w:color w:val="000000"/>
          <w:szCs w:val="21"/>
          <w:u w:val="single"/>
        </w:rPr>
      </w:r>
      <w:r/>
    </w:p>
    <w:p>
      <w:pPr>
        <w:pStyle w:val="100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7</w:t>
      </w:r>
      <w:r>
        <w:rPr>
          <w:rFonts w:hint="eastAsia" w:ascii="宋体" w:hAnsi="宋体" w:cs="宋体"/>
          <w:i/>
          <w:iCs/>
          <w:color w:val="000000"/>
          <w:szCs w:val="21"/>
          <w:u w:val="single"/>
        </w:rPr>
        <w:t xml:space="preserve">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u w:val="single"/>
        </w:rPr>
      </w:r>
      <w:r/>
    </w:p>
    <w:p>
      <w:pPr>
        <w:pStyle w:val="1008"/>
        <w:ind w:right="-420"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8</w:t>
      </w:r>
      <w:r>
        <w:rPr>
          <w:rFonts w:hint="eastAsia" w:ascii="宋体" w:hAnsi="宋体" w:cs="宋体"/>
          <w:i/>
          <w:iCs/>
          <w:color w:val="000000"/>
          <w:szCs w:val="21"/>
          <w:u w:val="single"/>
        </w:rPr>
        <w:t xml:space="preserve">供应商信用承诺函</w:t>
      </w:r>
      <w:r>
        <w:rPr>
          <w:rFonts w:ascii="宋体" w:hAnsi="宋体" w:cs="宋体"/>
          <w:i/>
          <w:iCs/>
          <w:color w:val="000000"/>
          <w:szCs w:val="21"/>
          <w:u w:val="single"/>
        </w:rPr>
      </w:r>
      <w:r/>
    </w:p>
    <w:p>
      <w:pPr>
        <w:pStyle w:val="1008"/>
        <w:ind w:firstLine="420"/>
        <w:jc w:val="left"/>
        <w:spacing w:before="200" w:after="150" w:line="360" w:lineRule="auto"/>
        <w:widowControl/>
        <w:rPr>
          <w:rFonts w:hint="eastAsia"/>
          <w:color w:val="000000"/>
          <w:highlight w:val="none"/>
        </w:rPr>
      </w:pPr>
      <w:r>
        <w:rPr>
          <w:rFonts w:hint="eastAsia" w:ascii="宋体" w:hAnsi="宋体" w:cs="宋体"/>
          <w:color w:val="000000"/>
          <w:szCs w:val="21"/>
        </w:rPr>
        <w:t xml:space="preserve">2.落实政府采购政策需满足的资格要求： </w:t>
      </w:r>
      <w:r>
        <w:rPr>
          <w:rFonts w:hint="eastAsia" w:ascii="宋体" w:hAnsi="宋体" w:cs="宋体"/>
          <w:i/>
          <w:iCs/>
          <w:color w:val="000000"/>
          <w:szCs w:val="21"/>
          <w:u w:val="single"/>
        </w:rPr>
        <w:t xml:space="preserve">根据《政府采购促进中小企业发展管理办法》的规定，</w:t>
      </w:r>
      <w:r>
        <w:rPr>
          <w:rFonts w:hint="eastAsia" w:ascii="宋体" w:hAnsi="宋体" w:cs="宋体"/>
          <w:i/>
          <w:iCs/>
          <w:color w:val="000000"/>
          <w:szCs w:val="21"/>
          <w:highlight w:val="none"/>
          <w:u w:val="single"/>
        </w:rPr>
        <w:t xml:space="preserve">本项目专门面向中小企业采购，供应商提交响应文件时须提供《中小企业声明函》，《中小企业声明函》不符合要求或未提供的，响应文件无效。</w:t>
      </w:r>
      <w:r>
        <w:rPr>
          <w:rFonts w:hint="eastAsia"/>
          <w:color w:val="000000"/>
          <w:highlight w:val="none"/>
        </w:rPr>
      </w:r>
      <w:r/>
    </w:p>
    <w:p>
      <w:pPr>
        <w:pStyle w:val="1008"/>
        <w:ind w:firstLine="420"/>
        <w:spacing w:line="360" w:lineRule="auto"/>
        <w:rPr>
          <w:rFonts w:hint="eastAsia" w:ascii="宋体" w:hAnsi="宋体" w:eastAsia="宋体" w:cs="宋体"/>
          <w:color w:val="000000"/>
          <w:szCs w:val="21"/>
          <w:highlight w:val="none"/>
          <w:lang w:val="en-US" w:eastAsia="zh-CN"/>
        </w:rPr>
      </w:pPr>
      <w:r/>
      <w:bookmarkStart w:id="17" w:name="_Toc15918"/>
      <w:r/>
      <w:bookmarkStart w:id="18" w:name="_Toc12444"/>
      <w:r/>
      <w:bookmarkStart w:id="19" w:name="_Toc12592"/>
      <w:r/>
      <w:bookmarkStart w:id="20" w:name="_Toc21130"/>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lang w:val="en-US" w:eastAsia="zh-CN"/>
        </w:rPr>
        <w:t xml:space="preserve">无</w:t>
      </w:r>
      <w:r>
        <w:rPr>
          <w:rFonts w:hint="eastAsia" w:ascii="宋体" w:hAnsi="宋体" w:eastAsia="宋体" w:cs="宋体"/>
          <w:color w:val="000000"/>
          <w:szCs w:val="21"/>
          <w:highlight w:val="none"/>
          <w:lang w:val="en-US" w:eastAsia="zh-CN"/>
        </w:rPr>
      </w:r>
      <w:r/>
    </w:p>
    <w:p>
      <w:pPr>
        <w:pStyle w:val="1008"/>
        <w:rPr>
          <w:rFonts w:hint="eastAsia"/>
          <w:b/>
          <w:bCs/>
        </w:rPr>
      </w:pPr>
      <w:r>
        <w:rPr>
          <w:rFonts w:hint="eastAsia"/>
          <w:b/>
          <w:bCs/>
        </w:rPr>
        <w:t xml:space="preserve">三、获取</w:t>
      </w:r>
      <w:bookmarkEnd w:id="17"/>
      <w:r/>
      <w:bookmarkEnd w:id="18"/>
      <w:r>
        <w:rPr>
          <w:rFonts w:hint="eastAsia"/>
          <w:b/>
          <w:bCs/>
        </w:rPr>
        <w:t xml:space="preserve">招标文件</w:t>
      </w:r>
      <w:bookmarkEnd w:id="19"/>
      <w:r/>
      <w:bookmarkEnd w:id="20"/>
      <w:r>
        <w:rPr>
          <w:rFonts w:hint="eastAsia"/>
          <w:b/>
          <w:bCs/>
        </w:rPr>
      </w:r>
      <w:r/>
    </w:p>
    <w:p>
      <w:pPr>
        <w:pStyle w:val="1008"/>
        <w:ind w:firstLine="420"/>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1.时间：自磋商公告发布之日起5个工作日。5个工作日后仍可下载采购文件，但不作为供应商权益受到损害的证明材料和依据。</w:t>
      </w:r>
      <w:r>
        <w:rPr>
          <w:rFonts w:hint="eastAsia" w:ascii="宋体" w:hAnsi="宋体" w:eastAsia="宋体" w:cs="宋体"/>
          <w:b w:val="0"/>
          <w:bCs w:val="0"/>
          <w:color w:val="000000"/>
          <w:szCs w:val="21"/>
        </w:rPr>
      </w:r>
      <w:r/>
    </w:p>
    <w:p>
      <w:pPr>
        <w:pStyle w:val="1008"/>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2.获取方式：本项目采用网上注册登记方式。</w:t>
      </w:r>
      <w:r>
        <w:rPr>
          <w:rFonts w:hint="eastAsia" w:ascii="宋体" w:hAnsi="宋体" w:eastAsia="宋体" w:cs="宋体"/>
          <w:b/>
          <w:bCs/>
          <w:color w:val="000000"/>
          <w:szCs w:val="21"/>
        </w:rPr>
      </w:r>
      <w:r/>
    </w:p>
    <w:p>
      <w:pPr>
        <w:pStyle w:val="1008"/>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3.潜在供应商访问政府采购管理交易系统（苏采云）的网络地址和方法：</w:t>
      </w:r>
      <w:r>
        <w:rPr>
          <w:rFonts w:hint="eastAsia" w:ascii="宋体" w:hAnsi="宋体" w:eastAsia="宋体" w:cs="宋体"/>
          <w:b/>
          <w:bCs/>
          <w:color w:val="000000"/>
          <w:szCs w:val="21"/>
        </w:rPr>
      </w:r>
      <w:r/>
    </w:p>
    <w:p>
      <w:pPr>
        <w:pStyle w:val="1008"/>
        <w:ind w:firstLine="422"/>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hint="eastAsia"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（3）“CA数字证书”的办理材料以及供应商操作手册详见：</w:t>
      </w:r>
      <w:r>
        <w:rPr>
          <w:rFonts w:ascii="宋体" w:hAnsi="宋体" w:cs="宋体"/>
          <w:b/>
          <w:bCs/>
          <w:color w:val="000000"/>
          <w:szCs w:val="21"/>
          <w:shd w:val="clear" w:color="auto" w:fill="ffffff"/>
          <w:lang w:bidi="ar"/>
        </w:rPr>
      </w:r>
      <w:r/>
    </w:p>
    <w:p>
      <w:pPr>
        <w:pStyle w:val="1008"/>
        <w:ind w:firstLine="600"/>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http://zfcg.yangzhou.gov.cn/zfcg/xzzx/202309/4d7de1f7865f4a2894fc22bc452f94d8.shtml。</w:t>
      </w:r>
      <w:r>
        <w:rPr>
          <w:rFonts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（4）潜在供应商访问“苏采云”系统的网络地址和方法：“苏采云”系统的网址：http://jszfcg.jsczt.cn/。</w:t>
      </w:r>
      <w:r>
        <w:rPr>
          <w:rFonts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（5）采购文件（后缀名为“.kedt”）、供应商操作手册及政府采购客户端工具也可通过“苏采云”系统--已报名项目--报名详情页面内相应链接进行下载。</w:t>
      </w:r>
      <w:r>
        <w:rPr>
          <w:rFonts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shd w:val="clear" w:color="auto" w:fill="ffffff"/>
          <w:lang w:bidi="ar"/>
        </w:rPr>
        <w:t xml:space="preserve">（6）招标代理机构（采购代理机构）将数据电文形式的采购文件加载至“苏采云”系统，供潜在供应商下载或者查阅。     </w:t>
      </w:r>
      <w:r>
        <w:rPr>
          <w:rFonts w:ascii="宋体" w:hAnsi="宋体" w:cs="宋体"/>
          <w:b/>
          <w:bCs/>
          <w:color w:val="000000"/>
          <w:szCs w:val="21"/>
        </w:rPr>
      </w:r>
      <w:r/>
    </w:p>
    <w:p>
      <w:pPr>
        <w:pStyle w:val="1008"/>
        <w:ind w:firstLine="422"/>
        <w:spacing w:line="360" w:lineRule="auto"/>
        <w:rPr>
          <w:rFonts w:hint="eastAsia" w:ascii="宋体" w:hAnsi="宋体" w:cs="宋体"/>
          <w:b/>
          <w:bCs/>
          <w:color w:val="000000"/>
          <w:szCs w:val="21"/>
          <w:u w:val="single"/>
        </w:rPr>
      </w:pPr>
      <w:r>
        <w:rPr>
          <w:rFonts w:hint="eastAsia" w:ascii="宋体" w:hAnsi="宋体" w:cs="宋体"/>
          <w:b/>
          <w:bCs/>
          <w:color w:val="000000"/>
          <w:szCs w:val="21"/>
          <w:shd w:val="clear" w:color="auto" w:fill="ffffff"/>
          <w:lang w:bidi="ar"/>
        </w:rPr>
        <w:t xml:space="preserve">（7）苏采云系统使用谷歌浏览器参</w:t>
      </w:r>
      <w:r>
        <w:rPr>
          <w:rFonts w:hint="eastAsia" w:ascii="宋体" w:hAnsi="宋体" w:cs="宋体"/>
          <w:b/>
          <w:bCs/>
          <w:color w:val="000000"/>
          <w:szCs w:val="21"/>
          <w:highlight w:val="none"/>
          <w:shd w:val="clear" w:color="auto" w:fill="ffffff"/>
          <w:lang w:bidi="ar"/>
        </w:rPr>
        <w:t xml:space="preserve">与不见面开标。</w:t>
      </w:r>
      <w:r>
        <w:rPr>
          <w:rFonts w:hint="eastAsia" w:ascii="宋体" w:hAnsi="宋体" w:cs="宋体"/>
          <w:b/>
          <w:bCs/>
          <w:color w:val="000000"/>
          <w:szCs w:val="21"/>
          <w:u w:val="single"/>
        </w:rPr>
      </w:r>
      <w:r/>
    </w:p>
    <w:p>
      <w:pPr>
        <w:pStyle w:val="1010"/>
        <w:keepLines w:val="0"/>
        <w:keepNext w:val="0"/>
        <w:spacing w:before="0" w:after="0" w:line="360" w:lineRule="auto"/>
        <w:rPr>
          <w:rFonts w:ascii="宋体" w:hAnsi="宋体" w:eastAsia="宋体" w:cs="宋体"/>
          <w:bCs w:val="0"/>
          <w:color w:val="000000"/>
          <w:sz w:val="21"/>
          <w:szCs w:val="21"/>
          <w:lang w:val="en-US" w:eastAsia="zh-CN"/>
        </w:rPr>
      </w:pPr>
      <w:r/>
      <w:bookmarkStart w:id="21" w:name="_Toc109304966"/>
      <w:r>
        <w:rPr>
          <w:rFonts w:hint="eastAsia" w:ascii="宋体" w:hAnsi="宋体" w:cs="宋体"/>
          <w:bCs w:val="0"/>
          <w:color w:val="000000"/>
          <w:sz w:val="21"/>
          <w:szCs w:val="21"/>
        </w:rPr>
        <w:t xml:space="preserve">四、响应文件提交</w:t>
      </w:r>
      <w:bookmarkEnd w:id="21"/>
      <w:r>
        <w:rPr>
          <w:rFonts w:ascii="宋体" w:hAnsi="宋体" w:eastAsia="宋体" w:cs="宋体"/>
          <w:bCs w:val="0"/>
          <w:color w:val="000000"/>
          <w:sz w:val="21"/>
          <w:szCs w:val="21"/>
          <w:lang w:val="en-US" w:eastAsia="zh-CN"/>
        </w:rPr>
      </w:r>
      <w:r/>
    </w:p>
    <w:p>
      <w:pPr>
        <w:pStyle w:val="1008"/>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截止</w:t>
      </w:r>
      <w:r>
        <w:rPr>
          <w:rFonts w:hint="eastAsia" w:ascii="宋体" w:hAnsi="宋体" w:cs="宋体"/>
          <w:color w:val="000000"/>
          <w:szCs w:val="21"/>
        </w:rPr>
        <w:t xml:space="preserve">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15</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0分</w:t>
      </w:r>
      <w:r>
        <w:rPr>
          <w:rFonts w:hint="eastAsia" w:ascii="宋体" w:hAnsi="宋体" w:cs="宋体"/>
          <w:bCs/>
          <w:color w:val="000000"/>
          <w:szCs w:val="21"/>
          <w:highlight w:val="none"/>
        </w:rPr>
        <w:t xml:space="preserve">（北京时间）</w:t>
      </w:r>
      <w:r>
        <w:rPr>
          <w:rFonts w:hint="eastAsia" w:ascii="宋体" w:hAnsi="宋体" w:cs="宋体"/>
          <w:bCs/>
          <w:color w:val="000000"/>
          <w:szCs w:val="21"/>
          <w:u w:val="single"/>
        </w:rPr>
      </w:r>
      <w:r/>
    </w:p>
    <w:p>
      <w:pPr>
        <w:pStyle w:val="100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投标</w:t>
      </w:r>
      <w:r>
        <w:rPr>
          <w:rFonts w:hint="eastAsia" w:ascii="宋体" w:hAnsi="宋体" w:cs="宋体"/>
          <w:b/>
          <w:bCs/>
          <w:color w:val="000000"/>
          <w:szCs w:val="21"/>
        </w:rPr>
        <w:t xml:space="preserve">地点：“苏采云”系统（网址： http://jszfcg.jsczt.cn/）“报名详情”</w:t>
      </w:r>
      <w:r>
        <w:rPr>
          <w:rFonts w:hint="eastAsia" w:ascii="宋体" w:hAnsi="宋体" w:cs="宋体"/>
          <w:b/>
          <w:bCs/>
          <w:color w:val="000000"/>
          <w:szCs w:val="21"/>
        </w:rPr>
      </w:r>
      <w:r/>
    </w:p>
    <w:p>
      <w:pPr>
        <w:pStyle w:val="1008"/>
        <w:spacing w:line="360" w:lineRule="auto"/>
        <w:tabs>
          <w:tab w:val="left" w:pos="266" w:leader="none"/>
        </w:tabs>
        <w:rPr>
          <w:rFonts w:ascii="宋体" w:hAnsi="宋体" w:cs="宋体"/>
          <w:b/>
          <w:bCs/>
          <w:color w:val="000000"/>
        </w:rPr>
      </w:pPr>
      <w:r>
        <w:rPr>
          <w:rFonts w:hint="eastAsia" w:ascii="宋体" w:hAnsi="宋体" w:cs="宋体"/>
          <w:b/>
          <w:bCs/>
          <w:color w:val="000000"/>
          <w:lang w:eastAsia="zh-CN"/>
        </w:rPr>
        <w:t xml:space="preserve">五</w:t>
      </w:r>
      <w:r>
        <w:rPr>
          <w:rFonts w:hint="eastAsia" w:ascii="宋体" w:hAnsi="宋体" w:cs="宋体"/>
          <w:b/>
          <w:bCs/>
          <w:color w:val="000000"/>
        </w:rPr>
        <w:t xml:space="preserve">、</w:t>
      </w:r>
      <w:r>
        <w:rPr>
          <w:rFonts w:hint="eastAsia" w:ascii="宋体" w:hAnsi="宋体" w:cs="宋体"/>
          <w:b/>
          <w:bCs/>
          <w:color w:val="000000"/>
          <w:sz w:val="21"/>
          <w:szCs w:val="21"/>
          <w:lang w:val="en-US" w:eastAsia="zh-CN"/>
        </w:rPr>
        <w:t xml:space="preserve">开启</w:t>
      </w:r>
      <w:r>
        <w:rPr>
          <w:rFonts w:ascii="宋体" w:hAnsi="宋体" w:cs="宋体"/>
          <w:b/>
          <w:bCs/>
          <w:color w:val="000000"/>
        </w:rPr>
      </w:r>
      <w:r/>
    </w:p>
    <w:p>
      <w:pPr>
        <w:pStyle w:val="1008"/>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15</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1008"/>
        <w:ind w:firstLine="420"/>
        <w:spacing w:line="360" w:lineRule="auto"/>
        <w:rPr>
          <w:rFonts w:hint="eastAsia"/>
        </w:rPr>
      </w:pPr>
      <w:r>
        <w:rPr>
          <w:rFonts w:hint="eastAsia" w:ascii="宋体" w:hAnsi="宋体" w:cs="宋体"/>
          <w:color w:val="000000"/>
          <w:szCs w:val="21"/>
        </w:rPr>
        <w:t xml:space="preserve">2.地点：</w:t>
      </w:r>
      <w:r>
        <w:rPr>
          <w:rFonts w:hint="eastAsia" w:ascii="宋体" w:hAnsi="宋体"/>
          <w:b/>
          <w:color w:val="000000"/>
          <w:szCs w:val="21"/>
        </w:rPr>
        <w:t xml:space="preserve">“苏采云”系统（网址：http://jszfcg.jsczt.cn/）“开标大厅”</w:t>
      </w:r>
      <w:r>
        <w:rPr>
          <w:rFonts w:hint="eastAsia"/>
        </w:rPr>
      </w:r>
      <w:r/>
    </w:p>
    <w:p>
      <w:pPr>
        <w:pStyle w:val="1008"/>
        <w:spacing w:line="360" w:lineRule="auto"/>
        <w:tabs>
          <w:tab w:val="left" w:pos="266" w:leader="none"/>
        </w:tabs>
        <w:rPr>
          <w:rFonts w:ascii="宋体" w:hAnsi="宋体" w:cs="宋体"/>
          <w:b/>
          <w:bCs/>
        </w:rPr>
      </w:pPr>
      <w:r/>
      <w:bookmarkStart w:id="22" w:name="_Toc28359007"/>
      <w:r/>
      <w:bookmarkStart w:id="23" w:name="_Toc38985267"/>
      <w:r/>
      <w:bookmarkStart w:id="24" w:name="_Toc35393794"/>
      <w:r/>
      <w:bookmarkStart w:id="25" w:name="_Toc28359084"/>
      <w:r/>
      <w:bookmarkStart w:id="26" w:name="_Toc35393625"/>
      <w:r>
        <w:rPr>
          <w:rFonts w:hint="eastAsia" w:ascii="宋体" w:hAnsi="宋体" w:cs="宋体"/>
          <w:b/>
          <w:bCs/>
          <w:lang w:eastAsia="zh-CN"/>
        </w:rPr>
        <w:t xml:space="preserve">六</w:t>
      </w:r>
      <w:r>
        <w:rPr>
          <w:rFonts w:hint="eastAsia" w:ascii="宋体" w:hAnsi="宋体" w:cs="宋体"/>
          <w:b/>
          <w:bCs/>
        </w:rPr>
        <w:t xml:space="preserve">、公告期限</w:t>
      </w:r>
      <w:bookmarkEnd w:id="22"/>
      <w:r/>
      <w:bookmarkEnd w:id="23"/>
      <w:r/>
      <w:bookmarkEnd w:id="24"/>
      <w:r/>
      <w:bookmarkEnd w:id="25"/>
      <w:r/>
      <w:bookmarkEnd w:id="26"/>
      <w:r>
        <w:rPr>
          <w:rFonts w:ascii="宋体" w:hAnsi="宋体" w:cs="宋体"/>
          <w:b/>
          <w:bCs/>
        </w:rPr>
      </w:r>
      <w:r/>
    </w:p>
    <w:p>
      <w:pPr>
        <w:pStyle w:val="1008"/>
        <w:ind w:firstLine="422"/>
        <w:spacing w:line="360" w:lineRule="auto"/>
        <w:rPr>
          <w:rFonts w:hint="eastAsia" w:ascii="宋体" w:hAnsi="宋体"/>
          <w:b/>
          <w:bCs/>
          <w:color w:val="000000"/>
          <w:szCs w:val="21"/>
          <w:highlight w:val="yellow"/>
        </w:rPr>
      </w:pPr>
      <w:r>
        <w:rPr>
          <w:rFonts w:hint="eastAsia" w:ascii="宋体" w:hAnsi="宋体" w:cs="宋体"/>
          <w:b/>
          <w:bCs/>
        </w:rPr>
        <w:t xml:space="preserve">招标公告及招标文件公告期限为自本公告发布之日起5个工作日。</w:t>
      </w:r>
      <w:r>
        <w:rPr>
          <w:rFonts w:hint="eastAsia" w:ascii="宋体" w:hAnsi="宋体"/>
          <w:b/>
          <w:bCs/>
          <w:color w:val="000000"/>
          <w:szCs w:val="21"/>
          <w:highlight w:val="yellow"/>
        </w:rPr>
      </w:r>
      <w:r/>
    </w:p>
    <w:p>
      <w:pPr>
        <w:pStyle w:val="1008"/>
        <w:spacing w:line="360" w:lineRule="auto"/>
        <w:tabs>
          <w:tab w:val="left" w:pos="266" w:leader="none"/>
        </w:tabs>
        <w:rPr>
          <w:rFonts w:ascii="宋体" w:hAnsi="宋体" w:cs="宋体"/>
          <w:b/>
          <w:bCs/>
        </w:rPr>
      </w:pPr>
      <w:r/>
      <w:bookmarkStart w:id="27" w:name="_Toc2469"/>
      <w:r/>
      <w:bookmarkStart w:id="28" w:name="_Toc24018"/>
      <w:r>
        <w:rPr>
          <w:rFonts w:hint="eastAsia" w:ascii="宋体" w:hAnsi="宋体" w:cs="宋体"/>
          <w:b/>
          <w:bCs/>
          <w:lang w:eastAsia="zh-CN"/>
        </w:rPr>
        <w:t xml:space="preserve">七</w:t>
      </w:r>
      <w:r>
        <w:rPr>
          <w:rFonts w:hint="eastAsia" w:ascii="宋体" w:hAnsi="宋体" w:cs="宋体"/>
          <w:b/>
          <w:bCs/>
        </w:rPr>
        <w:t xml:space="preserve">、其他补充事宜</w:t>
      </w:r>
      <w:r>
        <w:rPr>
          <w:rFonts w:ascii="宋体" w:hAnsi="宋体" w:cs="宋体"/>
          <w:b/>
          <w:bCs/>
        </w:rPr>
      </w:r>
      <w:r/>
    </w:p>
    <w:p>
      <w:pPr>
        <w:pStyle w:val="1008"/>
        <w:ind w:firstLine="525"/>
        <w:spacing w:line="360" w:lineRule="auto"/>
        <w:rPr>
          <w:rFonts w:hint="eastAsia" w:ascii="宋体" w:hAnsi="宋体" w:cs="宋体"/>
        </w:rPr>
      </w:pPr>
      <w:r>
        <w:rPr>
          <w:rFonts w:hint="eastAsia" w:ascii="宋体" w:hAnsi="宋体" w:cs="宋体"/>
        </w:rPr>
        <w:t xml:space="preserve">无</w:t>
      </w:r>
      <w:r>
        <w:rPr>
          <w:rFonts w:hint="eastAsia" w:ascii="宋体" w:hAnsi="宋体" w:cs="宋体"/>
        </w:rPr>
      </w:r>
      <w:r/>
    </w:p>
    <w:p>
      <w:pPr>
        <w:pStyle w:val="1008"/>
        <w:ind w:firstLine="525"/>
        <w:spacing w:line="360" w:lineRule="auto"/>
        <w:rPr>
          <w:rFonts w:hint="eastAsia" w:ascii="宋体" w:hAnsi="宋体" w:cs="宋体"/>
        </w:rPr>
      </w:pPr>
      <w:r>
        <w:rPr>
          <w:rFonts w:hint="eastAsia" w:ascii="宋体" w:hAnsi="宋体" w:cs="宋体"/>
        </w:rPr>
      </w:r>
      <w:r/>
    </w:p>
    <w:p>
      <w:pPr>
        <w:pStyle w:val="1008"/>
        <w:rPr>
          <w:b/>
          <w:bCs/>
        </w:rPr>
      </w:pPr>
      <w:r/>
      <w:bookmarkEnd w:id="27"/>
      <w:r/>
      <w:bookmarkEnd w:id="28"/>
      <w:r>
        <w:rPr>
          <w:rFonts w:hint="eastAsia"/>
          <w:b/>
          <w:bCs/>
          <w:lang w:eastAsia="zh-CN"/>
        </w:rPr>
        <w:t xml:space="preserve">八</w:t>
      </w:r>
      <w:r>
        <w:rPr>
          <w:rFonts w:hint="eastAsia"/>
          <w:b/>
          <w:bCs/>
        </w:rPr>
        <w:t xml:space="preserve">、凡对本次采购提出询问，请按以下方式联系。</w:t>
      </w:r>
      <w:bookmarkEnd w:id="12"/>
      <w:r/>
      <w:bookmarkEnd w:id="13"/>
      <w:r/>
      <w:bookmarkEnd w:id="14"/>
      <w:r/>
      <w:bookmarkEnd w:id="15"/>
      <w:r/>
      <w:bookmarkEnd w:id="16"/>
      <w:r>
        <w:rPr>
          <w:b/>
          <w:bCs/>
        </w:rPr>
      </w:r>
      <w:r/>
    </w:p>
    <w:p>
      <w:pPr>
        <w:pStyle w:val="1008"/>
        <w:ind w:firstLine="0"/>
        <w:spacing w:line="240" w:lineRule="auto"/>
        <w:outlineLvl w:val="9"/>
      </w:pPr>
      <w:r/>
      <w:bookmarkStart w:id="29" w:name="_Toc28359019"/>
      <w:r/>
      <w:bookmarkStart w:id="30" w:name="_Toc35393637"/>
      <w:r/>
      <w:bookmarkStart w:id="31" w:name="_Toc35393806"/>
      <w:r/>
      <w:bookmarkStart w:id="32" w:name="_Toc28359096"/>
      <w:r>
        <w:rPr>
          <w:rFonts w:hint="eastAsia"/>
        </w:rPr>
        <w:t xml:space="preserve">1.采购人信息</w:t>
      </w:r>
      <w:bookmarkEnd w:id="29"/>
      <w:r/>
      <w:bookmarkEnd w:id="30"/>
      <w:r/>
      <w:bookmarkEnd w:id="31"/>
      <w:r/>
      <w:bookmarkEnd w:id="32"/>
      <w:r/>
      <w:r/>
    </w:p>
    <w:p>
      <w:pPr>
        <w:pStyle w:val="1008"/>
        <w:ind w:firstLine="525"/>
        <w:spacing w:line="360" w:lineRule="auto"/>
        <w:rPr>
          <w:rFonts w:ascii="宋体" w:hAnsi="宋体" w:eastAsia="宋体" w:cs="宋体"/>
          <w:color w:val="000000"/>
          <w:szCs w:val="21"/>
          <w:lang w:val="en-US" w:eastAsia="zh-CN"/>
        </w:rPr>
      </w:pPr>
      <w:r>
        <w:rPr>
          <w:rFonts w:hint="eastAsia" w:ascii="宋体" w:hAnsi="宋体" w:cs="宋体"/>
          <w:color w:val="000000"/>
          <w:szCs w:val="21"/>
        </w:rPr>
        <w:t xml:space="preserve">名   </w:t>
      </w:r>
      <w:r>
        <w:rPr>
          <w:rFonts w:hint="eastAsia" w:ascii="宋体" w:hAnsi="宋体" w:cs="宋体"/>
          <w:color w:val="000000"/>
          <w:szCs w:val="21"/>
        </w:rPr>
        <w:t xml:space="preserve"> 称：</w:t>
      </w:r>
      <w:r>
        <w:rPr>
          <w:rFonts w:hint="eastAsia" w:ascii="宋体" w:hAnsi="宋体" w:cs="宋体"/>
          <w:color w:val="000000"/>
          <w:szCs w:val="21"/>
          <w:u w:val="single"/>
          <w:lang w:val="en-US" w:eastAsia="zh-CN"/>
        </w:rPr>
        <w:t xml:space="preserve">仪征市发展和改革委员会</w:t>
      </w:r>
      <w:r>
        <w:rPr>
          <w:rFonts w:ascii="宋体" w:hAnsi="宋体" w:eastAsia="宋体" w:cs="宋体"/>
          <w:color w:val="000000"/>
          <w:szCs w:val="21"/>
          <w:lang w:val="en-US" w:eastAsia="zh-CN"/>
        </w:rPr>
      </w:r>
      <w:r/>
    </w:p>
    <w:p>
      <w:pPr>
        <w:pStyle w:val="1008"/>
        <w:ind w:firstLine="525"/>
        <w:spacing w:line="360" w:lineRule="auto"/>
        <w:rPr>
          <w:rFonts w:hint="eastAsia" w:ascii="宋体" w:hAnsi="宋体" w:cs="宋体"/>
          <w:color w:val="000000"/>
          <w:szCs w:val="21"/>
          <w:highlight w:val="none"/>
          <w:u w:val="single"/>
          <w:lang w:val="en-US" w:eastAsia="zh-CN"/>
        </w:rPr>
      </w:pPr>
      <w:r>
        <w:rPr>
          <w:rFonts w:hint="eastAsia" w:ascii="宋体" w:hAnsi="宋体" w:cs="宋体"/>
          <w:color w:val="000000"/>
          <w:szCs w:val="21"/>
        </w:rPr>
        <w:t xml:space="preserve">地    址：</w:t>
      </w:r>
      <w:r>
        <w:rPr>
          <w:rFonts w:hint="eastAsia" w:ascii="宋体" w:hAnsi="宋体" w:cs="宋体"/>
          <w:color w:val="000000"/>
          <w:szCs w:val="21"/>
          <w:highlight w:val="none"/>
          <w:u w:val="single"/>
          <w:lang w:val="en-US" w:eastAsia="zh-CN"/>
        </w:rPr>
        <w:t xml:space="preserve"> 仪征市解放东路300号 </w:t>
      </w:r>
      <w:r>
        <w:rPr>
          <w:rFonts w:hint="eastAsia" w:ascii="宋体" w:hAnsi="宋体" w:cs="宋体"/>
          <w:color w:val="000000"/>
          <w:szCs w:val="21"/>
          <w:highlight w:val="none"/>
          <w:u w:val="single"/>
          <w:lang w:val="en-US" w:eastAsia="zh-CN"/>
        </w:rPr>
      </w:r>
      <w:r/>
    </w:p>
    <w:p>
      <w:pPr>
        <w:pStyle w:val="1008"/>
        <w:ind w:firstLine="525"/>
        <w:jc w:val="left"/>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u w:val="single"/>
          <w:lang w:val="en-US" w:eastAsia="zh-CN"/>
        </w:rPr>
        <w:t xml:space="preserve">  张寅     </w:t>
      </w:r>
      <w:r>
        <w:rPr>
          <w:rFonts w:ascii="宋体" w:hAnsi="宋体" w:eastAsia="宋体" w:cs="宋体"/>
          <w:color w:val="000000"/>
          <w:szCs w:val="21"/>
          <w:highlight w:val="none"/>
          <w:u w:val="single"/>
          <w:lang w:val="en-US" w:eastAsia="zh-CN"/>
        </w:rPr>
      </w:r>
      <w:r/>
    </w:p>
    <w:p>
      <w:pPr>
        <w:pStyle w:val="1008"/>
        <w:ind w:firstLine="525"/>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val="en-US" w:eastAsia="zh-CN"/>
        </w:rPr>
        <w:t xml:space="preserve">    18921930308    </w:t>
      </w:r>
      <w:r>
        <w:rPr>
          <w:rFonts w:ascii="宋体" w:hAnsi="宋体" w:eastAsia="宋体" w:cs="宋体"/>
          <w:color w:val="000000"/>
          <w:szCs w:val="21"/>
          <w:highlight w:val="none"/>
          <w:lang w:val="en-US" w:eastAsia="zh-CN"/>
        </w:rPr>
      </w:r>
      <w:r/>
    </w:p>
    <w:p>
      <w:pPr>
        <w:pStyle w:val="1008"/>
        <w:ind w:firstLine="0"/>
        <w:spacing w:line="240" w:lineRule="auto"/>
        <w:outlineLvl w:val="9"/>
      </w:pPr>
      <w:r/>
      <w:bookmarkStart w:id="33" w:name="_Toc35393638"/>
      <w:r/>
      <w:bookmarkStart w:id="34" w:name="_Toc35393807"/>
      <w:r/>
      <w:bookmarkStart w:id="35" w:name="_Toc28359020"/>
      <w:r/>
      <w:bookmarkStart w:id="36" w:name="_Toc28359097"/>
      <w:r>
        <w:rPr>
          <w:rFonts w:hint="eastAsia"/>
        </w:rPr>
        <w:t xml:space="preserve">2.采购代理机构信息</w:t>
      </w:r>
      <w:bookmarkEnd w:id="33"/>
      <w:r/>
      <w:bookmarkEnd w:id="34"/>
      <w:r/>
      <w:bookmarkEnd w:id="35"/>
      <w:r/>
      <w:bookmarkEnd w:id="36"/>
      <w:r/>
      <w:r/>
    </w:p>
    <w:p>
      <w:pPr>
        <w:pStyle w:val="1008"/>
        <w:ind w:firstLine="420"/>
        <w:spacing w:line="480" w:lineRule="exact"/>
        <w:rPr>
          <w:rFonts w:ascii="宋体" w:hAnsi="宋体" w:cs="宋体"/>
          <w:szCs w:val="21"/>
        </w:rPr>
      </w:pPr>
      <w:r/>
      <w:bookmarkStart w:id="37" w:name="_Toc35393639"/>
      <w:r/>
      <w:bookmarkStart w:id="38" w:name="_Toc35393808"/>
      <w:r/>
      <w:bookmarkStart w:id="39" w:name="_Toc28359098"/>
      <w:r/>
      <w:bookmarkStart w:id="40" w:name="_Toc28359021"/>
      <w:r>
        <w:rPr>
          <w:rFonts w:hint="eastAsia" w:ascii="宋体" w:hAnsi="宋体" w:cs="宋体"/>
          <w:szCs w:val="21"/>
        </w:rPr>
        <w:t xml:space="preserve">名 称：</w:t>
      </w:r>
      <w:r>
        <w:rPr>
          <w:rFonts w:hint="eastAsia" w:ascii="宋体" w:hAnsi="宋体"/>
          <w:szCs w:val="21"/>
          <w:u w:val="single"/>
          <w:lang w:eastAsia="zh-CN"/>
        </w:rPr>
        <w:t xml:space="preserve">江苏星宇仪邮项目管理有限公司</w:t>
      </w:r>
      <w:r>
        <w:rPr>
          <w:rFonts w:ascii="宋体" w:hAnsi="宋体" w:cs="宋体"/>
          <w:szCs w:val="21"/>
        </w:rPr>
      </w:r>
      <w:r/>
    </w:p>
    <w:p>
      <w:pPr>
        <w:pStyle w:val="1008"/>
        <w:ind w:firstLine="420"/>
        <w:spacing w:line="480" w:lineRule="exact"/>
        <w:rPr>
          <w:rFonts w:ascii="宋体" w:hAnsi="宋体" w:eastAsia="宋体" w:cs="宋体"/>
          <w:szCs w:val="21"/>
          <w:lang w:val="en-US" w:eastAsia="zh-CN"/>
        </w:rPr>
      </w:pPr>
      <w:r>
        <w:rPr>
          <w:rFonts w:hint="eastAsia" w:ascii="宋体" w:hAnsi="宋体" w:cs="宋体"/>
          <w:szCs w:val="21"/>
        </w:rPr>
        <w:t xml:space="preserve">地　址：</w:t>
      </w:r>
      <w:r>
        <w:rPr>
          <w:rFonts w:hint="eastAsia" w:ascii="宋体" w:hAnsi="宋体"/>
          <w:szCs w:val="21"/>
          <w:u w:val="single"/>
        </w:rPr>
        <w:t xml:space="preserve">仪征市怡人金街B号楼</w:t>
      </w:r>
      <w:r>
        <w:rPr>
          <w:rFonts w:hint="eastAsia" w:ascii="宋体" w:hAnsi="宋体"/>
          <w:szCs w:val="21"/>
          <w:u w:val="single"/>
          <w:lang w:val="en-US" w:eastAsia="zh-CN"/>
        </w:rPr>
        <w:t xml:space="preserve">       </w:t>
      </w:r>
      <w:r>
        <w:rPr>
          <w:rFonts w:ascii="宋体" w:hAnsi="宋体" w:eastAsia="宋体" w:cs="宋体"/>
          <w:szCs w:val="21"/>
          <w:lang w:val="en-US" w:eastAsia="zh-CN"/>
        </w:rPr>
      </w:r>
      <w:r/>
    </w:p>
    <w:p>
      <w:pPr>
        <w:pStyle w:val="1008"/>
        <w:ind w:firstLine="420"/>
        <w:spacing w:line="480" w:lineRule="exact"/>
        <w:rPr>
          <w:rFonts w:hint="eastAsia" w:hAnsi="宋体"/>
          <w:u w:val="single"/>
        </w:rPr>
      </w:pPr>
      <w:r>
        <w:rPr>
          <w:rFonts w:hint="eastAsia" w:ascii="宋体" w:hAnsi="宋体" w:cs="宋体"/>
          <w:szCs w:val="21"/>
        </w:rPr>
        <w:t xml:space="preserve">联系人：</w:t>
      </w:r>
      <w:r>
        <w:rPr>
          <w:rFonts w:hint="eastAsia" w:hAnsi="宋体"/>
          <w:u w:val="single"/>
        </w:rPr>
        <w:t xml:space="preserve">   </w:t>
      </w:r>
      <w:r>
        <w:rPr>
          <w:rFonts w:hint="eastAsia" w:hAnsi="宋体"/>
          <w:highlight w:val="none"/>
          <w:u w:val="single"/>
          <w:lang w:val="en-US" w:eastAsia="zh-CN"/>
        </w:rPr>
        <w:t xml:space="preserve">吴苗苗</w:t>
      </w:r>
      <w:r>
        <w:rPr>
          <w:rFonts w:hint="eastAsia" w:hAnsi="宋体"/>
          <w:highlight w:val="none"/>
          <w:u w:val="single"/>
        </w:rPr>
        <w:t xml:space="preserve">  </w:t>
      </w:r>
      <w:r>
        <w:rPr>
          <w:rFonts w:hint="eastAsia" w:hAnsi="宋体"/>
          <w:highlight w:val="none"/>
          <w:u w:val="single"/>
          <w:lang w:val="en-US" w:eastAsia="zh-CN"/>
        </w:rPr>
        <w:t xml:space="preserve"> </w:t>
      </w:r>
      <w:r>
        <w:rPr>
          <w:rFonts w:hint="eastAsia" w:hAnsi="宋体"/>
          <w:u w:val="single"/>
          <w:lang w:val="en-US" w:eastAsia="zh-CN"/>
        </w:rPr>
        <w:t xml:space="preserve">           </w:t>
      </w:r>
      <w:r>
        <w:rPr>
          <w:rFonts w:hint="eastAsia" w:hAnsi="宋体"/>
          <w:u w:val="single"/>
        </w:rPr>
        <w:t xml:space="preserve"> </w:t>
      </w:r>
      <w:r>
        <w:rPr>
          <w:rFonts w:hint="eastAsia" w:hAnsi="宋体"/>
          <w:u w:val="single"/>
        </w:rPr>
      </w:r>
      <w:r/>
    </w:p>
    <w:p>
      <w:pPr>
        <w:pStyle w:val="1008"/>
        <w:ind w:firstLine="420"/>
        <w:spacing w:line="480" w:lineRule="exact"/>
        <w:rPr>
          <w:rFonts w:ascii="宋体" w:hAnsi="宋体" w:eastAsia="宋体" w:cs="宋体"/>
          <w:szCs w:val="21"/>
          <w:u w:val="single"/>
          <w:lang w:val="en-US" w:eastAsia="zh-CN"/>
        </w:rPr>
      </w:pPr>
      <w:r>
        <w:rPr>
          <w:rFonts w:hint="eastAsia" w:ascii="宋体" w:hAnsi="宋体" w:cs="宋体"/>
          <w:szCs w:val="21"/>
        </w:rPr>
        <w:t xml:space="preserve">联系方式：</w:t>
      </w:r>
      <w:r>
        <w:rPr>
          <w:rFonts w:hint="eastAsia" w:ascii="宋体" w:hAnsi="宋体"/>
          <w:szCs w:val="21"/>
          <w:u w:val="single"/>
        </w:rPr>
        <w:t xml:space="preserve">0514-83412539</w:t>
      </w:r>
      <w:r>
        <w:rPr>
          <w:rFonts w:hint="eastAsia" w:ascii="宋体" w:hAnsi="宋体"/>
          <w:szCs w:val="21"/>
          <w:u w:val="single"/>
          <w:lang w:val="en-US" w:eastAsia="zh-CN"/>
        </w:rPr>
        <w:t xml:space="preserve">            </w:t>
      </w:r>
      <w:r>
        <w:rPr>
          <w:rFonts w:ascii="宋体" w:hAnsi="宋体" w:eastAsia="宋体" w:cs="宋体"/>
          <w:szCs w:val="21"/>
          <w:u w:val="single"/>
          <w:lang w:val="en-US" w:eastAsia="zh-CN"/>
        </w:rPr>
      </w:r>
      <w:r/>
    </w:p>
    <w:p>
      <w:pPr>
        <w:pStyle w:val="1008"/>
        <w:spacing w:line="360" w:lineRule="auto"/>
        <w:rPr>
          <w:rFonts w:hint="eastAsia" w:ascii="宋体" w:hAnsi="宋体"/>
          <w:b/>
          <w:bCs/>
          <w:color w:val="000000"/>
          <w:szCs w:val="21"/>
        </w:rPr>
      </w:pPr>
      <w:r/>
      <w:bookmarkEnd w:id="37"/>
      <w:r/>
      <w:bookmarkEnd w:id="38"/>
      <w:r/>
      <w:bookmarkEnd w:id="39"/>
      <w:r/>
      <w:bookmarkEnd w:id="40"/>
      <w:r>
        <w:rPr>
          <w:rFonts w:hint="eastAsia" w:ascii="宋体" w:hAnsi="宋体"/>
          <w:b/>
          <w:bCs/>
          <w:color w:val="000000"/>
          <w:szCs w:val="21"/>
          <w:lang w:eastAsia="zh-CN"/>
        </w:rPr>
        <w:t xml:space="preserve">九</w:t>
      </w:r>
      <w:r>
        <w:rPr>
          <w:rFonts w:hint="eastAsia" w:ascii="宋体" w:hAnsi="宋体"/>
          <w:b/>
          <w:bCs/>
          <w:color w:val="000000"/>
          <w:szCs w:val="21"/>
        </w:rPr>
        <w:t xml:space="preserve">、落实好政府采购履约资金扶持政策和其他相关政策</w:t>
      </w:r>
      <w:r>
        <w:rPr>
          <w:rFonts w:hint="eastAsia" w:ascii="宋体" w:hAnsi="宋体"/>
          <w:b/>
          <w:bCs/>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1.中标/成交供应商可凭政府采购合同办理融资贷款，详见江苏政府采购网“政采贷”专栏。</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w:t>
      </w:r>
      <w:r>
        <w:rPr>
          <w:rFonts w:hint="eastAsia" w:cs="Calibri"/>
          <w:b/>
          <w:bCs/>
          <w:color w:val="000000"/>
          <w:szCs w:val="21"/>
        </w:rPr>
        <w:t xml:space="preserve">https://www.crcrfsp.com</w:t>
      </w:r>
      <w:r>
        <w:rPr>
          <w:rFonts w:hint="eastAsia" w:ascii="宋体" w:hAnsi="宋体" w:cs="宋体"/>
          <w:b/>
          <w:bCs/>
          <w:color w:val="000000"/>
          <w:szCs w:val="21"/>
        </w:rPr>
        <w:t xml:space="preserve">）”向参与政府采购融资业务的金融机构申请融资，相关事宜可向市人民银行咨询，联系电话：0514-83441946。</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3.严格执行政府采购关于支持</w:t>
      </w:r>
      <w:r>
        <w:rPr>
          <w:rFonts w:hint="eastAsia" w:ascii="宋体" w:hAnsi="宋体" w:cs="宋体"/>
          <w:b/>
          <w:bCs/>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Cs w:val="21"/>
        </w:rPr>
      </w:r>
      <w:r/>
    </w:p>
    <w:p>
      <w:pPr>
        <w:pStyle w:val="1008"/>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lang w:val="en-US" w:eastAsia="zh-CN"/>
        </w:rPr>
        <w:t xml:space="preserve">十</w:t>
      </w:r>
      <w:r>
        <w:rPr>
          <w:rFonts w:hint="eastAsia" w:ascii="宋体" w:hAnsi="宋体" w:cs="宋体"/>
          <w:b/>
          <w:bCs/>
          <w:color w:val="000000"/>
          <w:szCs w:val="21"/>
        </w:rPr>
        <w:t xml:space="preserve">、其他</w:t>
      </w:r>
      <w:r>
        <w:rPr>
          <w:rFonts w:hint="eastAsia" w:ascii="宋体" w:hAnsi="宋体" w:cs="宋体"/>
          <w:color w:val="000000"/>
          <w:szCs w:val="21"/>
        </w:rPr>
      </w:r>
      <w:r/>
    </w:p>
    <w:p>
      <w:pPr>
        <w:pStyle w:val="1008"/>
        <w:ind w:firstLine="420"/>
        <w:spacing w:line="360" w:lineRule="auto"/>
        <w:shd w:val="clear" w:color="auto" w:fill="ffffff"/>
        <w:widowControl/>
        <w:rPr>
          <w:rFonts w:hint="eastAsia" w:ascii="宋体" w:hAnsi="宋体" w:eastAsia="宋体" w:cs="宋体"/>
          <w:b/>
          <w:bCs/>
          <w:color w:val="000000"/>
          <w:szCs w:val="21"/>
        </w:rPr>
      </w:pPr>
      <w:r>
        <w:rPr>
          <w:rFonts w:hint="eastAsia" w:ascii="宋体" w:hAnsi="宋体" w:cs="宋体"/>
          <w:b/>
          <w:bCs/>
          <w:color w:val="000000"/>
          <w:szCs w:val="21"/>
        </w:rPr>
        <w:t xml:space="preserve">1.本次采购采用“政府采购管理交易系统（苏采云）”，招标、投标、评标和中标结果发布全程电子化，开标方式为不见面开标。供应商应当按照《</w:t>
      </w:r>
      <w:r>
        <w:rPr>
          <w:rFonts w:hint="eastAsia" w:ascii="宋体" w:hAnsi="宋体" w:eastAsia="宋体" w:cs="宋体"/>
          <w:b/>
          <w:bCs/>
          <w:color w:val="000000"/>
          <w:szCs w:val="21"/>
        </w:rPr>
        <w:t xml:space="preserve">“苏采云”系统供应商操作手册》参加投标活动。如供应商未按要求操作，由此所产生的风险由供应商自行承担。</w:t>
      </w:r>
      <w:r>
        <w:rPr>
          <w:rFonts w:hint="eastAsia" w:ascii="宋体" w:hAnsi="宋体" w:eastAsia="宋体" w:cs="宋体"/>
          <w:b/>
          <w:bCs/>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4.潜在供应商对采购文件项目需求部分的询问、质疑请向采购人提出，由采购人负责答复。</w:t>
      </w:r>
      <w:r>
        <w:rPr>
          <w:rFonts w:hint="eastAsia" w:ascii="宋体" w:hAnsi="宋体" w:cs="宋体"/>
          <w:color w:val="000000"/>
          <w:szCs w:val="21"/>
        </w:rPr>
      </w:r>
      <w:r/>
    </w:p>
    <w:p>
      <w:pPr>
        <w:pStyle w:val="1008"/>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5.本次采购不收取保证金。</w:t>
      </w:r>
      <w:r>
        <w:rPr>
          <w:rFonts w:hint="eastAsia" w:ascii="宋体" w:hAnsi="宋体" w:cs="宋体"/>
          <w:color w:val="000000"/>
          <w:szCs w:val="21"/>
        </w:rPr>
      </w:r>
      <w:r/>
    </w:p>
    <w:p>
      <w:pPr>
        <w:pStyle w:val="1008"/>
        <w:ind w:firstLine="420"/>
        <w:jc w:val="left"/>
        <w:spacing w:line="360" w:lineRule="auto"/>
        <w:shd w:val="clear" w:color="auto" w:fill="ffffff"/>
        <w:widowControl/>
        <w:rPr>
          <w:rFonts w:hint="eastAsia" w:ascii="宋体" w:hAnsi="宋体" w:cs="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hint="eastAsia" w:ascii="宋体" w:hAnsi="宋体" w:cs="宋体"/>
          <w:bCs/>
          <w:color w:val="000000"/>
        </w:rPr>
        <w:t xml:space="preserve">有关本次采购的事项若存在变动或修改，敬请及时关注“仪征市政府采购网（</w:t>
      </w:r>
      <w:r>
        <w:rPr>
          <w:rFonts w:ascii="宋体" w:hAnsi="宋体" w:cs="宋体"/>
          <w:bCs/>
          <w:color w:val="000000"/>
        </w:rPr>
        <w:t xml:space="preserve">zfcg.yizheng.cn</w:t>
      </w:r>
      <w:r>
        <w:rPr>
          <w:rFonts w:hint="eastAsia" w:ascii="宋体" w:hAnsi="宋体" w:cs="宋体"/>
          <w:bCs/>
          <w:color w:val="000000"/>
        </w:rPr>
        <w:t xml:space="preserve">）”、“扬州市政府采购网（</w:t>
      </w:r>
      <w:r>
        <w:rPr>
          <w:rFonts w:ascii="宋体" w:hAnsi="宋体" w:cs="宋体"/>
          <w:bCs/>
          <w:color w:val="000000"/>
        </w:rPr>
        <w:t xml:space="preserve">zfcg.yangzhou.gov.cn</w:t>
      </w:r>
      <w:r>
        <w:rPr>
          <w:rFonts w:hint="eastAsia" w:ascii="宋体" w:hAnsi="宋体" w:cs="宋体"/>
          <w:bCs/>
          <w:color w:val="000000"/>
        </w:rPr>
        <w:t xml:space="preserve">）”、“江苏省政府采购网（</w:t>
      </w:r>
      <w:r>
        <w:rPr>
          <w:rFonts w:ascii="宋体" w:hAnsi="宋体" w:cs="宋体"/>
          <w:bCs/>
          <w:color w:val="000000"/>
        </w:rPr>
        <w:t xml:space="preserve">ccgp-jiangsu.gov.cn</w:t>
      </w:r>
      <w:r>
        <w:rPr>
          <w:rFonts w:hint="eastAsia" w:ascii="宋体" w:hAnsi="宋体" w:cs="宋体"/>
          <w:bCs/>
          <w:color w:val="000000"/>
        </w:rPr>
        <w:t xml:space="preserve">）”</w:t>
      </w:r>
      <w:r>
        <w:rPr>
          <w:rFonts w:hint="eastAsia" w:ascii="宋体" w:hAnsi="宋体" w:cs="宋体"/>
          <w:bCs/>
          <w:color w:val="000000"/>
          <w:lang w:eastAsia="zh-CN"/>
        </w:rPr>
        <w:t xml:space="preserve">、</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val="en-US" w:eastAsia="zh-CN"/>
        </w:rPr>
        <w:t xml:space="preserve">中国政府采购网（www.ccgp.gov.cn）</w:t>
      </w:r>
      <w:r>
        <w:rPr>
          <w:rFonts w:hint="eastAsia" w:ascii="宋体" w:hAnsi="宋体" w:cs="宋体"/>
          <w:bCs/>
          <w:color w:val="000000"/>
          <w:highlight w:val="none"/>
          <w:lang w:eastAsia="zh-CN"/>
        </w:rPr>
        <w:t xml:space="preserve">”</w:t>
      </w:r>
      <w:r>
        <w:rPr>
          <w:rFonts w:hint="eastAsia" w:ascii="宋体" w:hAnsi="宋体" w:cs="宋体"/>
          <w:bCs/>
          <w:color w:val="000000"/>
        </w:rPr>
        <w:t xml:space="preserve">发布的信息。</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i/>
          <w:iCs/>
          <w:color w:val="000000"/>
          <w:szCs w:val="21"/>
          <w:u w:val="single"/>
        </w:rPr>
        <w:t xml:space="preserve">7.本项目采购文件中所有斜体下划线部分为实质性条款，如不满足，则为无效响应。</w:t>
      </w:r>
      <w:r>
        <w:rPr>
          <w:rFonts w:hint="eastAsia" w:ascii="宋体" w:hAnsi="宋体" w:cs="宋体"/>
          <w:color w:val="000000"/>
          <w:szCs w:val="21"/>
        </w:rPr>
      </w:r>
      <w:r/>
    </w:p>
    <w:p>
      <w:pPr>
        <w:pStyle w:val="1008"/>
        <w:ind w:firstLine="420"/>
        <w:spacing w:line="360" w:lineRule="auto"/>
        <w:rPr>
          <w:rFonts w:ascii="宋体" w:hAnsi="宋体" w:cs="宋体"/>
          <w:b/>
          <w:i/>
          <w:iCs/>
          <w:color w:val="000000"/>
          <w:u w:val="single"/>
        </w:rPr>
      </w:pPr>
      <w:r>
        <w:rPr>
          <w:rFonts w:hint="eastAsia" w:ascii="宋体" w:hAnsi="宋体" w:cs="宋体"/>
          <w:color w:val="000000"/>
          <w:szCs w:val="21"/>
        </w:rPr>
        <w:t xml:space="preserve">8.如在开标时间发生系统崩溃等不可预见的情况，造成开评标活动无法正常进行的，将延迟开评标，具体开评标时间另行通知。</w:t>
      </w:r>
      <w:r>
        <w:rPr>
          <w:rFonts w:ascii="宋体" w:hAnsi="宋体" w:cs="宋体"/>
          <w:b/>
          <w:i/>
          <w:iCs/>
          <w:color w:val="000000"/>
          <w:u w:val="single"/>
        </w:rPr>
      </w:r>
      <w:r/>
    </w:p>
    <w:p>
      <w:pPr>
        <w:pStyle w:val="1030"/>
        <w:ind w:left="0"/>
        <w:jc w:val="right"/>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r>
      <w:r/>
    </w:p>
    <w:p>
      <w:pPr>
        <w:pStyle w:val="1030"/>
        <w:ind w:left="0"/>
        <w:jc w:val="right"/>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r>
      <w:r/>
    </w:p>
    <w:p>
      <w:pPr>
        <w:pStyle w:val="1030"/>
        <w:ind w:left="0"/>
        <w:jc w:val="right"/>
        <w:rPr>
          <w:color w:val="000000"/>
          <w:highlight w:val="none"/>
        </w:rPr>
      </w:pPr>
      <w:r>
        <w:rPr>
          <w:rFonts w:hint="eastAsia" w:ascii="宋体" w:hAnsi="宋体" w:cs="宋体"/>
          <w:b/>
          <w:bCs/>
          <w:color w:val="000000"/>
          <w:szCs w:val="21"/>
          <w:highlight w:val="none"/>
          <w:lang w:val="en-US" w:eastAsia="zh-CN"/>
        </w:rPr>
        <w:t xml:space="preserve">2025 </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lang w:val="en-US" w:eastAsia="zh-CN"/>
        </w:rPr>
        <w:t xml:space="preserve"> 26</w:t>
      </w:r>
      <w:r>
        <w:rPr>
          <w:rFonts w:hint="eastAsia" w:ascii="宋体" w:hAnsi="宋体" w:cs="宋体"/>
          <w:b/>
          <w:bCs/>
          <w:color w:val="000000"/>
          <w:szCs w:val="21"/>
          <w:highlight w:val="none"/>
        </w:rPr>
        <w:t xml:space="preserve">日</w:t>
      </w:r>
      <w:r>
        <w:rPr>
          <w:color w:val="000000"/>
          <w:highlight w:val="none"/>
        </w:rPr>
      </w:r>
      <w:r/>
    </w:p>
    <w:p>
      <w:pPr>
        <w:pStyle w:val="1008"/>
        <w:ind w:firstLine="2520"/>
        <w:rPr>
          <w:rFonts w:hint="eastAsia" w:ascii="宋体" w:hAnsi="宋体"/>
          <w:color w:val="000000"/>
          <w:sz w:val="36"/>
        </w:rPr>
      </w:pPr>
      <w:r/>
      <w:bookmarkStart w:id="41" w:name="_Toc13865"/>
      <w:r>
        <w:rPr>
          <w:rFonts w:hint="eastAsia" w:ascii="宋体" w:hAnsi="宋体"/>
          <w:color w:val="000000"/>
          <w:sz w:val="36"/>
        </w:rPr>
      </w:r>
      <w:r/>
    </w:p>
    <w:p>
      <w:pPr>
        <w:pStyle w:val="1008"/>
        <w:rPr>
          <w:rFonts w:hint="eastAsia" w:ascii="宋体" w:hAnsi="宋体"/>
          <w:color w:val="000000"/>
          <w:sz w:val="36"/>
        </w:rPr>
      </w:pPr>
      <w:r>
        <w:rPr>
          <w:rFonts w:hint="eastAsia" w:ascii="宋体" w:hAnsi="宋体"/>
          <w:color w:val="000000"/>
          <w:sz w:val="36"/>
        </w:rPr>
      </w:r>
      <w:r/>
    </w:p>
    <w:p>
      <w:pPr>
        <w:pStyle w:val="1059"/>
        <w:rPr>
          <w:rFonts w:hint="eastAsia"/>
        </w:rPr>
      </w:pPr>
      <w:r>
        <w:rPr>
          <w:rFonts w:hint="eastAsia"/>
        </w:rPr>
      </w:r>
      <w:r/>
    </w:p>
    <w:p>
      <w:pPr>
        <w:pStyle w:val="1060"/>
        <w:rPr>
          <w:rFonts w:hint="eastAsia"/>
        </w:rPr>
      </w:pPr>
      <w:r>
        <w:rPr>
          <w:rFonts w:hint="eastAsia"/>
        </w:rPr>
      </w:r>
      <w:r/>
    </w:p>
    <w:p>
      <w:pPr>
        <w:pStyle w:val="1059"/>
        <w:rPr>
          <w:rFonts w:hint="eastAsia"/>
        </w:rPr>
      </w:pPr>
      <w:r>
        <w:rPr>
          <w:rFonts w:hint="eastAsia"/>
        </w:rPr>
      </w:r>
      <w:r/>
    </w:p>
    <w:p>
      <w:pPr>
        <w:pStyle w:val="1063"/>
        <w:rPr>
          <w:rFonts w:hint="eastAsia"/>
        </w:rPr>
      </w:pPr>
      <w:r>
        <w:rPr>
          <w:rFonts w:hint="eastAsia"/>
        </w:rPr>
      </w:r>
      <w:r/>
    </w:p>
    <w:p>
      <w:pPr>
        <w:pStyle w:val="1008"/>
        <w:rPr>
          <w:rFonts w:hint="eastAsia"/>
        </w:rPr>
      </w:pPr>
      <w:r>
        <w:rPr>
          <w:rFonts w:hint="eastAsia"/>
        </w:rPr>
      </w:r>
      <w:r/>
    </w:p>
    <w:p>
      <w:pPr>
        <w:pStyle w:val="1059"/>
        <w:rPr>
          <w:rFonts w:hint="eastAsia"/>
        </w:rPr>
      </w:pPr>
      <w:r>
        <w:rPr>
          <w:rFonts w:hint="eastAsia"/>
        </w:rPr>
      </w:r>
      <w:r/>
    </w:p>
    <w:p>
      <w:pPr>
        <w:pStyle w:val="1060"/>
        <w:rPr>
          <w:rFonts w:hint="eastAsia"/>
        </w:rPr>
      </w:pPr>
      <w:r>
        <w:rPr>
          <w:rFonts w:hint="eastAsia"/>
        </w:rPr>
      </w:r>
      <w:r/>
    </w:p>
    <w:p>
      <w:pPr>
        <w:pStyle w:val="1059"/>
        <w:rPr>
          <w:rFonts w:hint="eastAsia"/>
        </w:rPr>
      </w:pPr>
      <w:r>
        <w:rPr>
          <w:rFonts w:hint="eastAsia"/>
        </w:rPr>
      </w:r>
      <w:r/>
    </w:p>
    <w:p>
      <w:pPr>
        <w:pStyle w:val="1009"/>
        <w:jc w:val="center"/>
        <w:rPr>
          <w:rFonts w:hint="eastAsia"/>
          <w:sz w:val="30"/>
          <w:szCs w:val="30"/>
        </w:rPr>
      </w:pPr>
      <w:r/>
      <w:bookmarkEnd w:id="1"/>
      <w:r/>
      <w:bookmarkEnd w:id="41"/>
      <w:r/>
      <w:bookmarkStart w:id="42" w:name="_Toc18563"/>
      <w:r/>
      <w:bookmarkStart w:id="43" w:name="_Toc28007"/>
      <w:r/>
      <w:bookmarkStart w:id="44" w:name="_Toc453"/>
      <w:r>
        <w:rPr>
          <w:rFonts w:hint="eastAsia"/>
          <w:sz w:val="30"/>
          <w:szCs w:val="30"/>
          <w:lang w:val="en-US" w:eastAsia="zh-CN"/>
        </w:rPr>
        <w:t xml:space="preserve">第二章 磋商须知</w:t>
      </w:r>
      <w:bookmarkEnd w:id="42"/>
      <w:r/>
      <w:bookmarkEnd w:id="43"/>
      <w:r>
        <w:rPr>
          <w:rFonts w:hint="eastAsia"/>
          <w:sz w:val="30"/>
          <w:szCs w:val="30"/>
        </w:rPr>
      </w:r>
      <w:r/>
    </w:p>
    <w:p>
      <w:pPr>
        <w:pStyle w:val="1012"/>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1、采购方式</w:t>
      </w:r>
      <w:r>
        <w:rPr>
          <w:rFonts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1.1 本次采购采取竞争性磋商方式，本采购文件仅适用于</w:t>
      </w:r>
      <w:r>
        <w:rPr>
          <w:rFonts w:hint="eastAsia" w:ascii="宋体" w:hAnsi="宋体"/>
          <w:b/>
          <w:bCs/>
          <w:color w:val="000000"/>
          <w:highlight w:val="none"/>
          <w:lang w:eastAsia="zh-CN"/>
        </w:rPr>
        <w:t xml:space="preserve">JSXYYY-2025-11</w:t>
      </w:r>
      <w:r>
        <w:rPr>
          <w:rFonts w:hint="eastAsia" w:ascii="宋体" w:hAnsi="宋体"/>
          <w:color w:val="000000"/>
          <w:highlight w:val="none"/>
        </w:rPr>
        <w:t xml:space="preserve">号</w:t>
      </w:r>
      <w:r>
        <w:rPr>
          <w:rFonts w:hint="eastAsia" w:ascii="宋体" w:hAnsi="宋体"/>
          <w:color w:val="000000"/>
        </w:rPr>
        <w:t xml:space="preserve">项目。</w:t>
      </w:r>
      <w:r>
        <w:rPr>
          <w:rFonts w:hint="eastAsia" w:ascii="宋体" w:hAnsi="宋体"/>
          <w:color w:val="000000"/>
          <w:szCs w:val="21"/>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w:t>
      </w:r>
      <w:r>
        <w:rPr>
          <w:rFonts w:hint="eastAsia" w:ascii="宋体" w:hAnsi="宋体" w:eastAsia="宋体"/>
          <w:color w:val="000000"/>
          <w:sz w:val="21"/>
          <w:szCs w:val="21"/>
        </w:rPr>
      </w:r>
      <w:r/>
    </w:p>
    <w:p>
      <w:pPr>
        <w:pStyle w:val="1008"/>
        <w:ind w:firstLine="420"/>
        <w:spacing w:line="360" w:lineRule="auto"/>
        <w:rPr>
          <w:rFonts w:hint="eastAsia"/>
        </w:rPr>
      </w:pPr>
      <w:r>
        <w:rPr>
          <w:rFonts w:hint="eastAsia"/>
        </w:rPr>
        <w:t xml:space="preserve">2.1 参加竞争性磋商的供应商以下简称“供应商”，是指参加磋商并符合采购文件规定资格条件的法人、其他组织或者自然人。</w:t>
      </w:r>
      <w:r>
        <w:rPr>
          <w:rFonts w:hint="eastAsia"/>
        </w:rPr>
      </w:r>
      <w:r/>
    </w:p>
    <w:p>
      <w:pPr>
        <w:pStyle w:val="1008"/>
        <w:ind w:firstLine="420"/>
        <w:spacing w:line="360" w:lineRule="auto"/>
      </w:pPr>
      <w:r>
        <w:rPr>
          <w:rFonts w:hint="eastAsia"/>
        </w:rPr>
        <w:t xml:space="preserve">2.2合格的供应商</w:t>
      </w:r>
      <w:r/>
    </w:p>
    <w:p>
      <w:pPr>
        <w:pStyle w:val="1008"/>
        <w:ind w:firstLine="420"/>
        <w:spacing w:line="360" w:lineRule="auto"/>
        <w:rPr>
          <w:rFonts w:hint="eastAsia" w:ascii="宋体" w:hAnsi="宋体"/>
          <w:color w:val="000000"/>
          <w:szCs w:val="21"/>
        </w:rPr>
      </w:pPr>
      <w:r>
        <w:rPr>
          <w:rFonts w:hint="eastAsia" w:ascii="宋体" w:hAnsi="宋体"/>
          <w:color w:val="000000"/>
        </w:rPr>
        <w:t xml:space="preserve">2.2.1 满足采购公告中供应商的资格条件要求的规定。</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rPr>
          <w:rFonts w:hint="eastAsia" w:ascii="宋体" w:hAnsi="宋体" w:eastAsia="宋体"/>
          <w:color w:val="000000"/>
          <w:sz w:val="21"/>
          <w:szCs w:val="21"/>
        </w:rPr>
      </w:r>
      <w:r/>
    </w:p>
    <w:p>
      <w:pPr>
        <w:pStyle w:val="1008"/>
        <w:ind w:firstLine="420"/>
        <w:spacing w:line="360" w:lineRule="auto"/>
        <w:rPr>
          <w:rFonts w:hint="eastAsia"/>
        </w:rPr>
      </w:pPr>
      <w:r>
        <w:rPr>
          <w:rFonts w:hint="eastAsia"/>
        </w:rPr>
        <w:t xml:space="preserve">3.1 本次采购及由此产生的合同受中华人民共和国有关的法律法规制约和保护。</w:t>
      </w:r>
      <w:r>
        <w:rPr>
          <w:rFonts w:hint="eastAsia"/>
        </w:rPr>
      </w:r>
      <w:r/>
    </w:p>
    <w:p>
      <w:pPr>
        <w:pStyle w:val="1008"/>
        <w:ind w:firstLine="422"/>
        <w:spacing w:line="360" w:lineRule="auto"/>
        <w:rPr>
          <w:rFonts w:hint="eastAsia" w:ascii="宋体" w:hAnsi="宋体"/>
          <w:b/>
          <w:bCs/>
          <w:color w:val="000000"/>
          <w:szCs w:val="21"/>
        </w:rPr>
      </w:pPr>
      <w:r>
        <w:rPr>
          <w:rFonts w:hint="eastAsia" w:ascii="宋体" w:hAnsi="宋体"/>
          <w:b/>
          <w:bCs/>
          <w:color w:val="000000"/>
        </w:rPr>
        <w:t xml:space="preserve">4、参加磋商费用</w:t>
      </w:r>
      <w:r>
        <w:rPr>
          <w:rFonts w:hint="eastAsia" w:ascii="宋体" w:hAnsi="宋体"/>
          <w:b/>
          <w:bCs/>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4.1 供应商应自行承担所有与参加磋商有关的费用，无论磋商过程中的做法和结果如何，</w:t>
      </w:r>
      <w:r>
        <w:rPr>
          <w:rFonts w:hint="eastAsia" w:ascii="宋体" w:hAnsi="宋体"/>
          <w:color w:val="000000"/>
          <w:lang w:eastAsia="zh-CN"/>
        </w:rPr>
        <w:t xml:space="preserve">江苏星宇仪邮项目管理有限公司</w:t>
      </w:r>
      <w:r>
        <w:rPr>
          <w:rFonts w:hint="eastAsia" w:ascii="宋体" w:hAnsi="宋体"/>
          <w:color w:val="000000"/>
        </w:rPr>
        <w:t xml:space="preserve">(以下简称代理机构)在任何情况下均无义务和责任承担这些费用。</w:t>
      </w:r>
      <w:r>
        <w:rPr>
          <w:rFonts w:hint="eastAsia" w:ascii="宋体" w:hAnsi="宋体"/>
          <w:color w:val="000000"/>
        </w:rPr>
      </w:r>
      <w:r/>
    </w:p>
    <w:p>
      <w:pPr>
        <w:pStyle w:val="1008"/>
        <w:ind w:firstLine="420"/>
        <w:spacing w:after="156" w:line="500" w:lineRule="exact"/>
        <w:tabs>
          <w:tab w:val="left" w:pos="900" w:leader="none"/>
        </w:tabs>
        <w:rPr>
          <w:rFonts w:hint="eastAsia"/>
          <w:color w:val="000000"/>
        </w:rPr>
      </w:pPr>
      <w:r>
        <w:rPr>
          <w:rFonts w:hint="eastAsia" w:ascii="宋体" w:hAnsi="宋体"/>
          <w:color w:val="000000"/>
        </w:rPr>
        <w:t xml:space="preserve">4.2</w:t>
      </w:r>
      <w:r>
        <w:rPr>
          <w:color w:val="000000"/>
          <w:highlight w:val="none"/>
        </w:rPr>
        <w:t xml:space="preserve">本次采购由成交单位在领取成交通知书前按照国家计委印发的《招标代理服务收费管理暂行办法》(计价格【2002】1980 号文)服务类的标准一次性支付给招标代理机构代理服务费 (不满叁仟元按叁仟元计取）</w:t>
      </w:r>
      <w:r>
        <w:rPr>
          <w:rFonts w:hint="eastAsia"/>
          <w:color w:val="000000"/>
          <w:highlight w:val="none"/>
        </w:rPr>
        <w:t xml:space="preserve">。</w:t>
      </w:r>
      <w:r>
        <w:rPr>
          <w:rFonts w:hint="eastAsia"/>
          <w:color w:val="000000"/>
        </w:rPr>
      </w:r>
      <w:r/>
    </w:p>
    <w:p>
      <w:pPr>
        <w:pStyle w:val="1008"/>
        <w:ind w:firstLine="420"/>
        <w:spacing w:line="360" w:lineRule="auto"/>
        <w:rPr>
          <w:color w:val="000000"/>
        </w:rPr>
      </w:pPr>
      <w:r>
        <w:rPr>
          <w:color w:val="000000"/>
        </w:rPr>
        <w:t xml:space="preserve">（1）代理服务费以人民币支付； </w:t>
      </w:r>
      <w:r>
        <w:rPr>
          <w:color w:val="000000"/>
        </w:rPr>
      </w:r>
      <w:r/>
    </w:p>
    <w:p>
      <w:pPr>
        <w:pStyle w:val="1008"/>
        <w:ind w:firstLine="420"/>
        <w:spacing w:line="360" w:lineRule="auto"/>
        <w:rPr>
          <w:color w:val="000000"/>
        </w:rPr>
      </w:pPr>
      <w:r>
        <w:rPr>
          <w:color w:val="000000"/>
        </w:rPr>
        <w:t xml:space="preserve">（2）代理服务费一次性以电汇、转账等非现金形式支付； </w:t>
      </w:r>
      <w:r>
        <w:rPr>
          <w:color w:val="000000"/>
        </w:rPr>
      </w:r>
      <w:r/>
    </w:p>
    <w:p>
      <w:pPr>
        <w:pStyle w:val="1008"/>
        <w:ind w:firstLine="420"/>
        <w:spacing w:line="360" w:lineRule="auto"/>
        <w:rPr>
          <w:color w:val="000000"/>
        </w:rPr>
      </w:pPr>
      <w:r>
        <w:rPr>
          <w:color w:val="000000"/>
        </w:rPr>
        <w:t xml:space="preserve">（3）招标代理服务费不在磋商报价中单列，包含在磋商总价中，由</w:t>
      </w:r>
      <w:r>
        <w:rPr>
          <w:rFonts w:hint="eastAsia"/>
          <w:color w:val="000000"/>
        </w:rPr>
        <w:t xml:space="preserve">成交</w:t>
      </w:r>
      <w:r>
        <w:rPr>
          <w:color w:val="000000"/>
        </w:rPr>
        <w:t xml:space="preserve">单位支付给代理机构。 </w:t>
      </w:r>
      <w:r>
        <w:rPr>
          <w:color w:val="000000"/>
        </w:rPr>
      </w:r>
      <w:r/>
    </w:p>
    <w:p>
      <w:pPr>
        <w:pStyle w:val="1008"/>
        <w:ind w:firstLine="420"/>
        <w:spacing w:line="360" w:lineRule="auto"/>
        <w:rPr>
          <w:rFonts w:hint="eastAsia"/>
          <w:color w:val="000000"/>
        </w:rPr>
      </w:pPr>
      <w:r>
        <w:rPr>
          <w:color w:val="000000"/>
        </w:rPr>
        <w:t xml:space="preserve">4.</w:t>
      </w:r>
      <w:r>
        <w:rPr>
          <w:rFonts w:hint="eastAsia"/>
          <w:color w:val="000000"/>
        </w:rPr>
        <w:t xml:space="preserve">3</w:t>
      </w:r>
      <w:r>
        <w:rPr>
          <w:color w:val="000000"/>
        </w:rPr>
        <w:t xml:space="preserve">专家评审费按扬财购【2020】40 号文《关于</w:t>
      </w:r>
      <w:r>
        <w:rPr>
          <w:rFonts w:hint="eastAsia"/>
          <w:color w:val="000000"/>
        </w:rPr>
        <w:t xml:space="preserve">进一步</w:t>
      </w:r>
      <w:r>
        <w:rPr>
          <w:color w:val="000000"/>
        </w:rPr>
        <w:t xml:space="preserve">规范扬州市政府采购专家评审费标准的通知》执行。</w:t>
      </w:r>
      <w:r>
        <w:rPr>
          <w:rFonts w:hint="eastAsia"/>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5、采购文件的约束力</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5.1 供应商一旦参加本项目采购活动，即被认为接受了本采购文件的规定和约束。</w:t>
      </w:r>
      <w:r>
        <w:rPr>
          <w:rFonts w:hint="eastAsia" w:ascii="宋体" w:hAnsi="宋体"/>
          <w:color w:val="000000"/>
          <w:szCs w:val="21"/>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6、采购文件构成</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6.1 采购文件有以下部分组成：</w:t>
      </w:r>
      <w:r>
        <w:rPr>
          <w:rFonts w:hint="eastAsia" w:ascii="宋体" w:hAnsi="宋体"/>
          <w:color w:val="000000"/>
          <w:szCs w:val="21"/>
        </w:rPr>
      </w:r>
      <w:r/>
    </w:p>
    <w:p>
      <w:pPr>
        <w:pStyle w:val="1008"/>
        <w:ind w:firstLine="315"/>
        <w:spacing w:line="360" w:lineRule="auto"/>
        <w:rPr>
          <w:rFonts w:hint="eastAsia" w:ascii="宋体" w:hAnsi="宋体"/>
          <w:color w:val="000000"/>
        </w:rPr>
      </w:pPr>
      <w:r>
        <w:rPr>
          <w:rFonts w:hint="eastAsia" w:ascii="宋体" w:hAnsi="宋体"/>
          <w:color w:val="000000"/>
        </w:rPr>
        <w:t xml:space="preserve">（1）采购公告</w:t>
      </w:r>
      <w:r>
        <w:rPr>
          <w:rFonts w:hint="eastAsia" w:ascii="宋体" w:hAnsi="宋体"/>
          <w:color w:val="000000"/>
        </w:rPr>
      </w:r>
      <w:r/>
    </w:p>
    <w:p>
      <w:pPr>
        <w:pStyle w:val="1008"/>
        <w:ind w:firstLine="315"/>
        <w:spacing w:line="360" w:lineRule="auto"/>
        <w:rPr>
          <w:rFonts w:hint="eastAsia" w:ascii="宋体" w:hAnsi="宋体"/>
          <w:color w:val="000000"/>
        </w:rPr>
      </w:pPr>
      <w:r>
        <w:rPr>
          <w:rFonts w:hint="eastAsia" w:ascii="宋体" w:hAnsi="宋体"/>
          <w:color w:val="000000"/>
        </w:rPr>
        <w:t xml:space="preserve">（2）磋商须知</w:t>
      </w:r>
      <w:r>
        <w:rPr>
          <w:rFonts w:hint="eastAsia" w:ascii="宋体" w:hAnsi="宋体"/>
          <w:color w:val="000000"/>
        </w:rPr>
        <w:tab/>
      </w:r>
      <w:r>
        <w:rPr>
          <w:rFonts w:hint="eastAsia" w:ascii="宋体" w:hAnsi="宋体"/>
          <w:color w:val="000000"/>
        </w:rPr>
      </w:r>
      <w:r/>
    </w:p>
    <w:p>
      <w:pPr>
        <w:pStyle w:val="1008"/>
        <w:ind w:firstLine="315"/>
        <w:spacing w:line="360" w:lineRule="auto"/>
        <w:rPr>
          <w:rFonts w:hint="eastAsia" w:ascii="宋体" w:hAnsi="宋体"/>
          <w:color w:val="000000"/>
        </w:rPr>
      </w:pPr>
      <w:r>
        <w:rPr>
          <w:rFonts w:hint="eastAsia" w:ascii="宋体" w:hAnsi="宋体"/>
          <w:color w:val="000000"/>
        </w:rPr>
        <w:t xml:space="preserve">（3）合同条款及格式</w:t>
      </w:r>
      <w:r>
        <w:rPr>
          <w:rFonts w:hint="eastAsia" w:ascii="宋体" w:hAnsi="宋体"/>
          <w:color w:val="000000"/>
        </w:rPr>
      </w:r>
      <w:r/>
    </w:p>
    <w:p>
      <w:pPr>
        <w:pStyle w:val="1008"/>
        <w:ind w:firstLine="315"/>
        <w:spacing w:line="360" w:lineRule="auto"/>
        <w:rPr>
          <w:rFonts w:hint="eastAsia" w:ascii="宋体" w:hAnsi="宋体"/>
          <w:color w:val="000000"/>
        </w:rPr>
      </w:pPr>
      <w:r>
        <w:rPr>
          <w:rFonts w:hint="eastAsia" w:ascii="宋体" w:hAnsi="宋体"/>
          <w:color w:val="000000"/>
        </w:rPr>
        <w:t xml:space="preserve">（4）项目需求</w:t>
      </w:r>
      <w:r>
        <w:rPr>
          <w:rFonts w:hint="eastAsia" w:ascii="宋体" w:hAnsi="宋体"/>
          <w:color w:val="000000"/>
        </w:rPr>
      </w:r>
      <w:r/>
    </w:p>
    <w:p>
      <w:pPr>
        <w:pStyle w:val="1008"/>
        <w:ind w:firstLine="315"/>
        <w:spacing w:line="360" w:lineRule="auto"/>
        <w:rPr>
          <w:rFonts w:hint="eastAsia" w:ascii="宋体" w:hAnsi="宋体"/>
          <w:color w:val="000000"/>
        </w:rPr>
      </w:pPr>
      <w:r>
        <w:rPr>
          <w:rFonts w:hint="eastAsia" w:ascii="宋体" w:hAnsi="宋体"/>
          <w:color w:val="000000"/>
        </w:rPr>
        <w:t xml:space="preserve">（5）评审方法与评审标准</w:t>
      </w:r>
      <w:r>
        <w:rPr>
          <w:rFonts w:hint="eastAsia" w:ascii="宋体" w:hAnsi="宋体"/>
          <w:color w:val="000000"/>
        </w:rPr>
      </w:r>
      <w:r/>
    </w:p>
    <w:p>
      <w:pPr>
        <w:pStyle w:val="1008"/>
        <w:ind w:firstLine="315"/>
        <w:spacing w:line="360" w:lineRule="auto"/>
        <w:rPr>
          <w:rFonts w:ascii="宋体" w:hAnsi="宋体"/>
          <w:color w:val="000000"/>
        </w:rPr>
      </w:pPr>
      <w:r>
        <w:rPr>
          <w:rFonts w:hint="eastAsia" w:ascii="宋体" w:hAnsi="宋体"/>
          <w:color w:val="000000"/>
        </w:rPr>
        <w:t xml:space="preserve">（6）竞争性磋商响应文件格式</w:t>
      </w:r>
      <w:r>
        <w:rPr>
          <w:rFonts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请仔细检查采购文件是否齐全，如有缺漏请立即与代理机构联系解决。</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6.3 采购文件如果要求供应商提交备选响应方案的，供应商可以提交备选方案；否则，备选方案将被拒绝。</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采购文件的澄清</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7.1 任何要求对采购文件进行澄清的供应商，应在提交首次响应文件截止时间至少5日前按采购公告中的通讯地址，以书面形式通知代理机构。</w:t>
      </w:r>
      <w:r>
        <w:rPr>
          <w:rFonts w:hint="eastAsia" w:ascii="宋体" w:hAnsi="宋体"/>
          <w:color w:val="000000"/>
          <w:szCs w:val="21"/>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采购文件的修改</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8.2采购文件的修改将在“仪征市政府采购网”、“扬州市政府采购网”、“江苏省政府采购网”</w:t>
      </w:r>
      <w:r>
        <w:rPr>
          <w:rFonts w:hint="eastAsia" w:ascii="宋体" w:hAnsi="宋体"/>
          <w:color w:val="000000"/>
          <w:lang w:eastAsia="zh-CN"/>
        </w:rPr>
        <w:t xml:space="preserve">、“</w:t>
      </w:r>
      <w:r>
        <w:rPr>
          <w:rFonts w:hint="eastAsia" w:ascii="宋体" w:hAnsi="宋体"/>
          <w:color w:val="000000"/>
          <w:lang w:val="en-US" w:eastAsia="zh-CN"/>
        </w:rPr>
        <w:t xml:space="preserve">中国政府采购网</w:t>
      </w:r>
      <w:r>
        <w:rPr>
          <w:rFonts w:hint="eastAsia" w:ascii="宋体" w:hAnsi="宋体"/>
          <w:color w:val="000000"/>
          <w:lang w:eastAsia="zh-CN"/>
        </w:rPr>
        <w:t xml:space="preserve">”</w:t>
      </w:r>
      <w:r>
        <w:rPr>
          <w:rFonts w:hint="eastAsia" w:ascii="宋体" w:hAnsi="宋体"/>
          <w:color w:val="000000"/>
        </w:rPr>
        <w:t xml:space="preserve">公布，补充文件将作为采购文件的组成部分，并对供应商具有约束力。</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9、采购文件的语言、度量衡单位、货币</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9.1供应商提交的响应文件以及供应商与代理机构就有关磋商的所有来往通知、函件和文件均应使用简体中文。</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9.2 除技术性能另有规定外，采购文件所使用的度量衡单位，均须采用国家法定计量单位。</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9.3采购文件中的服务单价和总价无特殊规定的采用人民币报价，以元为单位标注。采购文件中另有规定的按规定执行。</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10、响应文件构成</w:t>
      </w:r>
      <w:r>
        <w:rPr>
          <w:rFonts w:hint="eastAsia" w:ascii="宋体" w:hAnsi="宋体" w:eastAsia="宋体"/>
          <w:color w:val="000000"/>
          <w:sz w:val="21"/>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（4）</w:t>
      </w:r>
      <w:r>
        <w:rPr>
          <w:rFonts w:hint="eastAsia"/>
          <w:color w:val="000000"/>
        </w:rPr>
        <w:t xml:space="preserve">磋商响应报价表</w:t>
      </w:r>
      <w:r>
        <w:rPr>
          <w:rFonts w:ascii="宋体" w:hAnsi="宋体"/>
          <w:bCs/>
          <w:color w:val="000000"/>
          <w:szCs w:val="21"/>
        </w:rPr>
      </w:r>
      <w:r/>
    </w:p>
    <w:p>
      <w:pPr>
        <w:pStyle w:val="1008"/>
        <w:ind w:firstLine="420"/>
        <w:spacing w:line="360" w:lineRule="auto"/>
        <w:rPr>
          <w:rFonts w:hint="eastAsia"/>
          <w:color w:val="000000"/>
        </w:rPr>
      </w:pPr>
      <w:r>
        <w:rPr>
          <w:rFonts w:hint="eastAsia" w:ascii="宋体" w:hAnsi="宋体"/>
          <w:bCs/>
          <w:color w:val="000000"/>
          <w:szCs w:val="21"/>
        </w:rPr>
        <w:t xml:space="preserve">（5）</w:t>
      </w:r>
      <w:r>
        <w:rPr>
          <w:rFonts w:hint="eastAsia"/>
          <w:color w:val="000000"/>
        </w:rPr>
        <w:t xml:space="preserve">技术参数响应及偏离表</w:t>
      </w:r>
      <w:r>
        <w:rPr>
          <w:rFonts w:hint="eastAsia"/>
          <w:color w:val="000000"/>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（6）商务条款响应及偏离表</w:t>
      </w:r>
      <w:r>
        <w:rPr>
          <w:rFonts w:ascii="宋体" w:hAnsi="宋体"/>
          <w:bCs/>
          <w:color w:val="000000"/>
          <w:szCs w:val="21"/>
        </w:rPr>
      </w:r>
      <w:r/>
    </w:p>
    <w:p>
      <w:pPr>
        <w:pStyle w:val="1008"/>
        <w:ind w:firstLine="420"/>
        <w:spacing w:line="360" w:lineRule="auto"/>
        <w:rPr>
          <w:rFonts w:hint="eastAsia"/>
          <w:color w:val="000000"/>
        </w:rPr>
      </w:pPr>
      <w:r>
        <w:rPr>
          <w:rFonts w:hint="eastAsia" w:ascii="宋体" w:hAnsi="宋体"/>
          <w:bCs/>
          <w:color w:val="000000"/>
          <w:szCs w:val="21"/>
        </w:rPr>
        <w:t xml:space="preserve">（7）其他 （投标人认为有必要提供的声明和文件，如有自拟并自行添加）</w:t>
      </w:r>
      <w:r>
        <w:rPr>
          <w:rFonts w:hint="eastAsia"/>
          <w:color w:val="000000"/>
        </w:rPr>
      </w:r>
      <w:r/>
    </w:p>
    <w:p>
      <w:pPr>
        <w:pStyle w:val="1008"/>
        <w:ind w:firstLine="422"/>
        <w:spacing w:line="360" w:lineRule="auto"/>
        <w:rPr>
          <w:rFonts w:hint="eastAsia"/>
          <w:b/>
          <w:bCs/>
        </w:rPr>
      </w:pPr>
      <w:r>
        <w:rPr>
          <w:rFonts w:hint="eastAsia"/>
          <w:b/>
          <w:bCs/>
        </w:rPr>
        <w:t xml:space="preserve">10.2 供应商应当根据采购文件要求编制响应文件，响应文件应对采购文件提出的要求和条件作出响应，并在相应的响应文件中逐条标明满足与否。</w:t>
      </w:r>
      <w:r>
        <w:rPr>
          <w:rFonts w:hint="eastAsia"/>
          <w:b/>
          <w:bCs/>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11、证明供应商资格及符合采购文件规定的文件</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11.1供应商应按要求提交资格证明文件及符合采购文件规定的文件。</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11.2供应商应提交证明其有资格参加磋商和成交后有能力独立履行合同的文件。</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11.3供应商除必须具有履行合同所需提供的产品或服务的能力外，还必须具备相应的财务、技术方面的能力。</w:t>
      </w:r>
      <w:r>
        <w:rPr>
          <w:rFonts w:hint="eastAsia" w:ascii="宋体" w:hAnsi="宋体"/>
          <w:color w:val="000000"/>
        </w:rPr>
      </w:r>
      <w:r/>
    </w:p>
    <w:p>
      <w:pPr>
        <w:pStyle w:val="1008"/>
        <w:spacing w:line="360" w:lineRule="auto"/>
        <w:rPr>
          <w:rFonts w:hint="eastAsia" w:ascii="宋体" w:hAnsi="宋体"/>
          <w:color w:val="000000"/>
        </w:rPr>
      </w:pPr>
      <w:r>
        <w:rPr>
          <w:rFonts w:hint="eastAsia" w:ascii="宋体" w:hAnsi="宋体"/>
          <w:color w:val="000000"/>
        </w:rPr>
        <w:t xml:space="preserve">    11.4供应商应提交根据合同要求提供的证明服务质量合格以及符合采购文件规定的证明文件。</w:t>
      </w:r>
      <w:r>
        <w:rPr>
          <w:rFonts w:hint="eastAsia" w:ascii="宋体" w:hAnsi="宋体"/>
          <w:color w:val="000000"/>
        </w:rPr>
      </w:r>
      <w:r/>
    </w:p>
    <w:p>
      <w:pPr>
        <w:pStyle w:val="1008"/>
        <w:spacing w:line="360" w:lineRule="auto"/>
        <w:rPr>
          <w:rFonts w:hint="eastAsia" w:ascii="宋体" w:hAnsi="宋体"/>
          <w:color w:val="000000"/>
        </w:rPr>
      </w:pPr>
      <w:r>
        <w:rPr>
          <w:rFonts w:hint="eastAsia" w:ascii="宋体" w:hAnsi="宋体"/>
          <w:color w:val="000000"/>
        </w:rPr>
        <w:t xml:space="preserve">    11.5证明供应商所提供服务与采购文件的要求相一致的文件可以是手册、图纸、文字资料和数据。</w:t>
      </w:r>
      <w:r>
        <w:rPr>
          <w:rFonts w:hint="eastAsia" w:ascii="宋体" w:hAnsi="宋体"/>
          <w:color w:val="000000"/>
        </w:rPr>
      </w:r>
      <w:r/>
    </w:p>
    <w:p>
      <w:pPr>
        <w:pStyle w:val="1012"/>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12、磋商响应报价表</w:t>
      </w:r>
      <w:r>
        <w:rPr>
          <w:rFonts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12.1 供应商应按照采购文件规定格式填报磋商响应报价表，每项服务只允许有一个报价，任何有选择的报价将不予接受。</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12.2 标的物</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12.3其它费用处理</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采购文件未列明，而供应商认为必需的费用也需列入报价。</w:t>
      </w:r>
      <w:r>
        <w:rPr>
          <w:rFonts w:hint="eastAsia" w:ascii="宋体" w:hAnsi="宋体"/>
          <w:color w:val="000000"/>
        </w:rPr>
      </w:r>
      <w:r/>
    </w:p>
    <w:p>
      <w:pPr>
        <w:pStyle w:val="1008"/>
        <w:ind w:firstLine="422"/>
        <w:spacing w:line="360" w:lineRule="auto"/>
        <w:rPr>
          <w:rFonts w:hint="eastAsia" w:ascii="宋体" w:hAnsi="宋体"/>
          <w:b/>
          <w:bCs/>
          <w:color w:val="000000"/>
        </w:rPr>
      </w:pPr>
      <w:r>
        <w:rPr>
          <w:rFonts w:hint="eastAsia" w:ascii="宋体" w:hAnsi="宋体"/>
          <w:b/>
          <w:bCs/>
          <w:color w:val="000000"/>
        </w:rPr>
        <w:t xml:space="preserve">13、技术参数响应及偏离表、商务条款响应及偏离表及磋商服务说明</w:t>
      </w:r>
      <w:r>
        <w:rPr>
          <w:rFonts w:hint="eastAsia" w:ascii="宋体" w:hAnsi="宋体"/>
          <w:b/>
          <w:bCs/>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13.1 对采购文件中的技术与商务条款要求逐项作出响应或偏离，并说明原因；</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13.2 提供参加本项目类似案例简介；</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13.3 详细阐述所投服务的主要组成部分、功能设计、实现思路及关键技术；</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13.4 供应商认为需要的其他技术文件或说明。</w:t>
      </w:r>
      <w:r>
        <w:rPr>
          <w:rFonts w:hint="eastAsia" w:ascii="宋体" w:hAnsi="宋体"/>
          <w:color w:val="000000"/>
        </w:rPr>
      </w:r>
      <w:r/>
    </w:p>
    <w:p>
      <w:pPr>
        <w:pStyle w:val="1008"/>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rPr>
          <w:rFonts w:hint="eastAsia" w:ascii="宋体" w:hAnsi="宋体"/>
          <w:b/>
          <w:bCs/>
          <w:color w:val="000000"/>
        </w:rPr>
      </w:r>
      <w:r/>
    </w:p>
    <w:p>
      <w:pPr>
        <w:pStyle w:val="1008"/>
        <w:spacing w:line="360" w:lineRule="auto"/>
        <w:rPr>
          <w:rFonts w:hint="eastAsia" w:ascii="宋体" w:hAnsi="宋体"/>
          <w:color w:val="000000"/>
        </w:rPr>
      </w:pPr>
      <w:r>
        <w:rPr>
          <w:rFonts w:hint="eastAsia" w:ascii="宋体" w:hAnsi="宋体"/>
          <w:color w:val="000000"/>
        </w:rPr>
        <w:t xml:space="preserve">    14.1供应商的服务承诺应按不低于采购文件中商务要求的标准。</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14.2提供供应商有关售后服务的管理制度、售后服务机构的分布情况、售后服务人员的数量、素质、技术水平及售后服务的反应能力。</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15、磋商响应函</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15.1 供应商应按照</w:t>
      </w:r>
      <w:r>
        <w:rPr>
          <w:rFonts w:hint="eastAsia" w:ascii="宋体" w:hAnsi="宋体"/>
          <w:color w:val="000000"/>
          <w:szCs w:val="21"/>
        </w:rPr>
        <w:t xml:space="preserve">扬州市政府采购交易管理系统</w:t>
      </w:r>
      <w:r>
        <w:rPr>
          <w:rFonts w:hint="eastAsia" w:ascii="宋体" w:hAnsi="宋体"/>
          <w:color w:val="000000"/>
        </w:rPr>
        <w:t xml:space="preserve">提供的格式完整、正确填写磋商响应函。</w:t>
      </w:r>
      <w:r>
        <w:rPr>
          <w:rFonts w:hint="eastAsia" w:ascii="宋体" w:hAnsi="宋体"/>
          <w:color w:val="000000"/>
          <w:szCs w:val="21"/>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16、磋商响应有效期</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16.1 磋商响应有效期为代理机构规定的响应文件</w:t>
      </w:r>
      <w:r>
        <w:rPr>
          <w:rFonts w:hint="eastAsia" w:ascii="宋体" w:hAnsi="宋体"/>
          <w:color w:val="000000"/>
          <w:highlight w:val="none"/>
        </w:rPr>
        <w:t xml:space="preserve">接收截止时间后</w:t>
      </w:r>
      <w:r>
        <w:rPr>
          <w:rFonts w:hint="eastAsia" w:ascii="宋体" w:hAnsi="宋体"/>
          <w:b/>
          <w:bCs/>
          <w:color w:val="000000"/>
          <w:highlight w:val="none"/>
          <w:u w:val="single"/>
          <w:lang w:val="en-US" w:eastAsia="zh-CN"/>
        </w:rPr>
        <w:t xml:space="preserve"> </w:t>
      </w:r>
      <w:r>
        <w:rPr>
          <w:rFonts w:hint="eastAsia" w:ascii="宋体" w:hAnsi="宋体"/>
          <w:b/>
          <w:bCs/>
          <w:color w:val="000000"/>
          <w:highlight w:val="none"/>
          <w:u w:val="single"/>
        </w:rPr>
        <w:t xml:space="preserve">六十（60）天</w:t>
      </w:r>
      <w:r>
        <w:rPr>
          <w:rFonts w:hint="eastAsia" w:ascii="宋体" w:hAnsi="宋体"/>
          <w:b/>
          <w:bCs/>
          <w:color w:val="000000"/>
          <w:highlight w:val="none"/>
          <w:u w:val="single"/>
          <w:lang w:val="en-US" w:eastAsia="zh-CN"/>
        </w:rPr>
        <w:t xml:space="preserve"> </w:t>
      </w:r>
      <w:r>
        <w:rPr>
          <w:rFonts w:hint="eastAsia" w:ascii="宋体" w:hAnsi="宋体"/>
          <w:color w:val="000000"/>
          <w:highlight w:val="none"/>
        </w:rPr>
        <w:t xml:space="preserve">。</w:t>
      </w:r>
      <w:r>
        <w:rPr>
          <w:rFonts w:hint="eastAsia" w:ascii="宋体" w:hAnsi="宋体"/>
          <w:color w:val="000000"/>
        </w:rPr>
        <w:t xml:space="preserve">磋商响应有效期比规定短的将被视为非实质性响应性而予以拒绝。</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bookmarkStart w:id="45" w:name="_Toc20823297"/>
      <w:r/>
      <w:bookmarkStart w:id="46" w:name="_Toc16938541"/>
      <w:r>
        <w:rPr>
          <w:rFonts w:hint="eastAsia" w:ascii="宋体" w:hAnsi="宋体" w:eastAsia="宋体"/>
          <w:color w:val="000000"/>
          <w:sz w:val="21"/>
          <w:szCs w:val="21"/>
        </w:rPr>
        <w:t xml:space="preserve">17、响应文件</w:t>
      </w:r>
      <w:bookmarkEnd w:id="45"/>
      <w:r/>
      <w:bookmarkEnd w:id="46"/>
      <w:r>
        <w:rPr>
          <w:rFonts w:hint="eastAsia" w:ascii="宋体" w:hAnsi="宋体" w:eastAsia="宋体"/>
          <w:color w:val="000000"/>
          <w:sz w:val="21"/>
          <w:szCs w:val="21"/>
        </w:rPr>
        <w:t xml:space="preserve">的递交</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17.1 电子响应文件的递交供应商应当按照《操作手册》规定，在磋商响应截止时间前制作并上传电子响应文件。</w:t>
      </w:r>
      <w:bookmarkStart w:id="47" w:name="_Toc16938542"/>
      <w:r/>
      <w:bookmarkStart w:id="48" w:name="_Toc20823298"/>
      <w:r>
        <w:rPr>
          <w:rFonts w:hint="eastAsia" w:ascii="宋体" w:hAnsi="宋体"/>
          <w:color w:val="000000"/>
        </w:rPr>
      </w:r>
      <w:r/>
    </w:p>
    <w:p>
      <w:pPr>
        <w:pStyle w:val="1008"/>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1008"/>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hint="eastAsia" w:ascii="宋体" w:hAnsi="宋体"/>
          <w:b/>
          <w:color w:val="000000"/>
          <w:szCs w:val="21"/>
        </w:rPr>
      </w:r>
      <w:r/>
    </w:p>
    <w:p>
      <w:pPr>
        <w:pStyle w:val="1008"/>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1008"/>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rPr>
          <w:rFonts w:hint="eastAsia" w:ascii="宋体" w:hAnsi="宋体"/>
          <w:b/>
          <w:color w:val="000000"/>
          <w:szCs w:val="21"/>
        </w:rPr>
      </w:r>
      <w:r/>
    </w:p>
    <w:p>
      <w:pPr>
        <w:pStyle w:val="1008"/>
        <w:ind w:firstLine="422"/>
        <w:spacing w:line="360" w:lineRule="auto"/>
        <w:rPr>
          <w:rFonts w:hint="eastAsia"/>
          <w:color w:val="000000"/>
        </w:rPr>
      </w:pPr>
      <w:r>
        <w:rPr>
          <w:rFonts w:hint="eastAsia" w:ascii="宋体" w:hAnsi="宋体"/>
          <w:b/>
          <w:color w:val="000000"/>
          <w:szCs w:val="21"/>
        </w:rPr>
        <w:t xml:space="preserve">17.6各供应商应在规定时间内凭CA证书进行网上解密。</w:t>
      </w:r>
      <w:r>
        <w:rPr>
          <w:rFonts w:hint="eastAsia"/>
          <w:color w:val="000000"/>
        </w:rPr>
      </w:r>
      <w:r/>
    </w:p>
    <w:p>
      <w:pPr>
        <w:pStyle w:val="1088"/>
        <w:ind w:left="525"/>
        <w:rPr>
          <w:rFonts w:hint="eastAsia" w:ascii="宋体" w:hAnsi="宋体"/>
          <w:bCs/>
          <w:color w:val="000000"/>
          <w:sz w:val="24"/>
        </w:rPr>
      </w:pPr>
      <w:r>
        <w:rPr>
          <w:rFonts w:hint="eastAsia" w:ascii="宋体" w:hAnsi="宋体"/>
          <w:b/>
          <w:bCs/>
          <w:color w:val="000000"/>
        </w:rPr>
        <w:t xml:space="preserve">18、磋商响应截止日期</w:t>
      </w:r>
      <w:bookmarkEnd w:id="47"/>
      <w:r/>
      <w:bookmarkEnd w:id="48"/>
      <w:r>
        <w:rPr>
          <w:rFonts w:hint="eastAsia" w:ascii="宋体" w:hAnsi="宋体"/>
          <w:bCs/>
          <w:color w:val="000000"/>
          <w:sz w:val="24"/>
        </w:rPr>
      </w:r>
      <w:r/>
    </w:p>
    <w:p>
      <w:pPr>
        <w:pStyle w:val="1008"/>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供应商上传电子响应文件的时间不得迟于采购公告中规定的磋商响应截止时间。</w:t>
      </w:r>
      <w:r>
        <w:rPr>
          <w:rFonts w:hint="eastAsia" w:ascii="宋体" w:hAnsi="宋体"/>
          <w:bCs/>
          <w:i/>
          <w:color w:val="000000"/>
          <w:szCs w:val="21"/>
          <w:u w:val="single"/>
        </w:rPr>
      </w:r>
      <w:r/>
    </w:p>
    <w:p>
      <w:pPr>
        <w:pStyle w:val="1008"/>
        <w:ind w:firstLine="420"/>
        <w:spacing w:line="360" w:lineRule="auto"/>
        <w:rPr>
          <w:rFonts w:hint="eastAsia"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bookmarkStart w:id="49" w:name="_Toc16938543"/>
      <w:r/>
      <w:bookmarkStart w:id="50" w:name="_Toc20823299"/>
      <w:r>
        <w:rPr>
          <w:rFonts w:hint="eastAsia" w:ascii="宋体" w:hAnsi="宋体" w:eastAsia="宋体"/>
          <w:color w:val="000000"/>
          <w:sz w:val="21"/>
          <w:szCs w:val="21"/>
        </w:rPr>
        <w:t xml:space="preserve">19、响应文件</w:t>
      </w:r>
      <w:bookmarkEnd w:id="49"/>
      <w:r/>
      <w:bookmarkEnd w:id="50"/>
      <w:r>
        <w:rPr>
          <w:rFonts w:hint="eastAsia" w:ascii="宋体" w:hAnsi="宋体" w:eastAsia="宋体"/>
          <w:color w:val="000000"/>
          <w:sz w:val="21"/>
          <w:szCs w:val="21"/>
        </w:rPr>
        <w:t xml:space="preserve">的拒收</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19.1代理机构拒绝接收在其规定的磋商截止时间后上传的任何响应文件。</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bookmarkStart w:id="51" w:name="_Toc20823300"/>
      <w:r/>
      <w:bookmarkStart w:id="52" w:name="_Toc16938544"/>
      <w:r>
        <w:rPr>
          <w:rFonts w:hint="eastAsia" w:ascii="宋体" w:hAnsi="宋体" w:eastAsia="宋体"/>
          <w:color w:val="000000"/>
          <w:sz w:val="21"/>
          <w:szCs w:val="21"/>
        </w:rPr>
        <w:t xml:space="preserve">20、响应文件的撤回和修改</w:t>
      </w:r>
      <w:bookmarkEnd w:id="51"/>
      <w:r/>
      <w:bookmarkEnd w:id="52"/>
      <w:r>
        <w:rPr>
          <w:rFonts w:hint="eastAsia" w:ascii="宋体" w:hAnsi="宋体" w:eastAsia="宋体"/>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20.1 响应文件的撤回</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20.1.1 电子响应文件的撤回</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供应商可在磋商截止时间前，撤回其电子响应文件，具体操作方法见《操作手册》。</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20.1.2 供应商撤回电子响应文件，则认为其不再参与本项目磋商谈判。</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20.2 响应文件的修改</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供应商可在磋商截止时间前，对其电子响应文件进行修改，具体操作方法见《操作手册》。</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20.3 在磋商截止时间之后，供应商不得对其电子响应文件作任何修改。</w:t>
      </w:r>
      <w:r>
        <w:rPr>
          <w:rFonts w:hint="eastAsia" w:ascii="宋体" w:hAnsi="宋体"/>
          <w:color w:val="000000"/>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20.4 在磋商截止时间至采购文件中规定的磋商有效期满之间的这段时间内，供应商不得撤回其响应文件。</w:t>
      </w:r>
      <w:r>
        <w:rPr>
          <w:rFonts w:hint="eastAsia" w:ascii="宋体" w:hAnsi="宋体"/>
          <w:color w:val="000000"/>
          <w:szCs w:val="21"/>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21、磋商</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21.1 代理机构将在采购公告中规定的时间和地点组织磋商开始仪式。供应商应当按照《操作手册》规定，参加磋商活动。</w:t>
      </w:r>
      <w:r>
        <w:rPr>
          <w:rFonts w:hint="eastAsia" w:ascii="宋体" w:hAnsi="宋体"/>
          <w:color w:val="000000"/>
        </w:rPr>
      </w:r>
      <w:r/>
    </w:p>
    <w:p>
      <w:pPr>
        <w:pStyle w:val="1008"/>
        <w:ind w:firstLine="420"/>
        <w:spacing w:line="500" w:lineRule="exact"/>
        <w:rPr>
          <w:rFonts w:hint="eastAsia" w:ascii="宋体" w:hAnsi="宋体"/>
          <w:color w:val="000000"/>
        </w:rPr>
      </w:pPr>
      <w:r>
        <w:rPr>
          <w:rFonts w:hint="eastAsia" w:ascii="宋体" w:hAnsi="宋体"/>
          <w:color w:val="000000"/>
        </w:rPr>
        <w:t xml:space="preserve">21.2供应商在磋商过程中涉及到的响应文件解密等工作，应按照《操作手册》规定执行。</w:t>
      </w:r>
      <w:r>
        <w:rPr>
          <w:rFonts w:hint="eastAsia" w:ascii="宋体" w:hAnsi="宋体"/>
          <w:color w:val="000000"/>
        </w:rPr>
      </w:r>
      <w:r/>
    </w:p>
    <w:p>
      <w:pPr>
        <w:pStyle w:val="1012"/>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22、磋商小组</w:t>
      </w:r>
      <w:r>
        <w:rPr>
          <w:rFonts w:ascii="宋体" w:hAnsi="宋体" w:eastAsia="宋体"/>
          <w:b w:val="0"/>
          <w:bCs w:val="0"/>
          <w:color w:val="000000"/>
          <w:sz w:val="21"/>
          <w:szCs w:val="21"/>
        </w:rPr>
      </w:r>
      <w:r/>
    </w:p>
    <w:p>
      <w:pPr>
        <w:pStyle w:val="1008"/>
        <w:spacing w:line="360" w:lineRule="auto"/>
        <w:rPr>
          <w:rFonts w:hint="eastAsia" w:ascii="宋体" w:hAnsi="宋体"/>
          <w:b/>
          <w:bCs/>
          <w:color w:val="000000"/>
          <w:szCs w:val="21"/>
        </w:rPr>
      </w:pPr>
      <w:r>
        <w:rPr>
          <w:rFonts w:hint="eastAsia" w:ascii="宋体" w:hAnsi="宋体"/>
          <w:b/>
          <w:bCs/>
          <w:color w:val="000000"/>
        </w:rPr>
        <w:t xml:space="preserve">  </w:t>
      </w:r>
      <w:r>
        <w:rPr>
          <w:rFonts w:hint="eastAsia" w:ascii="宋体" w:hAnsi="宋体"/>
          <w:color w:val="000000"/>
        </w:rPr>
        <w:t xml:space="preserve">  22.1</w:t>
      </w:r>
      <w:r>
        <w:rPr>
          <w:rFonts w:hint="eastAsia" w:ascii="宋体" w:hAnsi="宋体"/>
          <w:b/>
          <w:bCs/>
          <w:color w:val="000000"/>
        </w:rPr>
        <w:t xml:space="preserve"> </w:t>
      </w:r>
      <w:r>
        <w:rPr>
          <w:rFonts w:hint="eastAsia" w:ascii="宋体" w:hAnsi="宋体"/>
          <w:color w:val="000000"/>
        </w:rPr>
        <w:t xml:space="preserve">磋商开始后，代理机构将立即组织磋商小组进行评审。</w:t>
      </w:r>
      <w:r>
        <w:rPr>
          <w:rFonts w:hint="eastAsia" w:ascii="宋体" w:hAnsi="宋体"/>
          <w:b/>
          <w:bCs/>
          <w:color w:val="000000"/>
          <w:szCs w:val="21"/>
        </w:rPr>
      </w:r>
      <w:r/>
    </w:p>
    <w:p>
      <w:pPr>
        <w:pStyle w:val="1008"/>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22.2磋商小组由采购人代表和有关技术、经济等方面的专家组成，且人员构成符合政府采购有关规定。</w:t>
      </w:r>
      <w:r>
        <w:rPr>
          <w:rFonts w:hint="eastAsia" w:ascii="宋体" w:hAnsi="宋体"/>
          <w:color w:val="000000"/>
        </w:rPr>
      </w:r>
      <w:r/>
    </w:p>
    <w:p>
      <w:pPr>
        <w:pStyle w:val="1008"/>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22.3磋商小组独立工作，负责评审有效响应文件并确定成交候选供应商。</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23、评审过程的保密与公正</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23.1评审专家应当遵守评审工作纪律，不得泄露评审情况和评审中获悉的商业秘密。</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23.2在评审过程中，供应商不得以任何行为影响评审过程，否则其响应文件将被作为无效响应文件。</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23.3 在评审期间，代理机构将设专门工作人员与供应商联系。</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23.4 代理机构和磋商小组不向未成交的供应商解释未成交原因，也不公布评审过程中的相关细节。</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24、磋商的澄清</w:t>
      </w:r>
      <w:r>
        <w:rPr>
          <w:rFonts w:hint="eastAsia" w:ascii="宋体" w:hAnsi="宋体" w:eastAsia="宋体"/>
          <w:b w:val="0"/>
          <w:bCs w:val="0"/>
          <w:color w:val="000000"/>
          <w:sz w:val="21"/>
          <w:szCs w:val="21"/>
        </w:rPr>
      </w:r>
      <w:r/>
    </w:p>
    <w:p>
      <w:pPr>
        <w:pStyle w:val="1008"/>
        <w:ind w:firstLine="420"/>
        <w:spacing w:line="360" w:lineRule="auto"/>
        <w:rPr>
          <w:rFonts w:hint="eastAsia"/>
          <w:color w:val="000000"/>
        </w:rPr>
      </w:pPr>
      <w:r>
        <w:rPr>
          <w:rFonts w:hint="eastAsia"/>
          <w:color w:val="000000"/>
        </w:rPr>
        <w:t xml:space="preserve">24.1评审期间，磋商小组要求供应商澄清、说明或者更正响应文件以电子函件形式提交但并非对每个供应商都作澄清要求。</w:t>
      </w:r>
      <w:r>
        <w:rPr>
          <w:rFonts w:hint="eastAsia"/>
          <w:color w:val="000000"/>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24.2</w:t>
      </w:r>
      <w:r>
        <w:rPr>
          <w:rFonts w:hint="eastAsia" w:ascii="宋体" w:hAnsi="宋体"/>
          <w:color w:val="000000"/>
          <w:szCs w:val="21"/>
        </w:rPr>
        <w:t xml:space="preserve">接到磋商小组澄清要求的供应商应按磋商小组规定的时间和格式在</w:t>
      </w:r>
      <w:r>
        <w:rPr>
          <w:rFonts w:hint="eastAsia"/>
          <w:b/>
          <w:bCs/>
          <w:color w:val="000000"/>
        </w:rPr>
        <w:t xml:space="preserve">“政府采购管理交易系统（苏采云）”</w:t>
      </w:r>
      <w:r>
        <w:rPr>
          <w:rFonts w:hint="eastAsia" w:ascii="宋体" w:hAnsi="宋体"/>
          <w:color w:val="000000"/>
          <w:szCs w:val="21"/>
        </w:rPr>
        <w:t xml:space="preserve">中做出澄清，澄清的内容作为响应文件的补充部分。具体</w:t>
      </w:r>
      <w:r>
        <w:rPr>
          <w:rFonts w:ascii="宋体" w:hAnsi="宋体"/>
          <w:color w:val="000000"/>
          <w:szCs w:val="21"/>
        </w:rPr>
        <w:t xml:space="preserve">操作</w:t>
      </w:r>
      <w:r>
        <w:rPr>
          <w:rFonts w:hint="eastAsia" w:ascii="宋体" w:hAnsi="宋体"/>
          <w:color w:val="000000"/>
          <w:szCs w:val="21"/>
        </w:rPr>
        <w:t xml:space="preserve">方式</w:t>
      </w:r>
      <w:r>
        <w:rPr>
          <w:rFonts w:ascii="宋体" w:hAnsi="宋体"/>
          <w:color w:val="000000"/>
          <w:szCs w:val="21"/>
        </w:rPr>
        <w:t xml:space="preserve">见</w:t>
      </w:r>
      <w:r>
        <w:rPr>
          <w:rFonts w:hint="eastAsia" w:ascii="宋体" w:hAnsi="宋体"/>
          <w:bCs/>
          <w:color w:val="000000"/>
          <w:szCs w:val="21"/>
        </w:rPr>
        <w:t xml:space="preserve">《操作手册》</w:t>
      </w:r>
      <w:r>
        <w:rPr>
          <w:rFonts w:hint="eastAsia" w:ascii="宋体" w:hAnsi="宋体"/>
          <w:color w:val="000000"/>
          <w:szCs w:val="21"/>
        </w:rPr>
        <w:t xml:space="preserve">。</w:t>
      </w:r>
      <w:r>
        <w:rPr>
          <w:rFonts w:hint="eastAsia" w:ascii="宋体" w:hAnsi="宋体"/>
          <w:color w:val="000000"/>
          <w:szCs w:val="21"/>
        </w:rPr>
      </w:r>
      <w:r/>
    </w:p>
    <w:p>
      <w:pPr>
        <w:pStyle w:val="1008"/>
        <w:spacing w:line="360" w:lineRule="auto"/>
        <w:rPr>
          <w:rFonts w:hint="eastAsia" w:ascii="宋体" w:hAnsi="宋体"/>
          <w:color w:val="000000"/>
        </w:rPr>
      </w:pPr>
      <w:r>
        <w:rPr>
          <w:rFonts w:hint="eastAsia" w:ascii="宋体" w:hAnsi="宋体"/>
          <w:color w:val="000000"/>
        </w:rPr>
        <w:t xml:space="preserve">    24.3 接到磋商小组澄清要求的供应商如未按规定做出澄清，其风险由供应商自行承担。</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25、对响应文件的初审</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25.1响应文件初审分为资格审查和符合性审查。</w:t>
      </w:r>
      <w:r>
        <w:rPr>
          <w:rFonts w:hint="eastAsia" w:ascii="宋体" w:hAnsi="宋体"/>
          <w:color w:val="000000"/>
          <w:szCs w:val="21"/>
        </w:rPr>
      </w:r>
      <w:r/>
    </w:p>
    <w:p>
      <w:pPr>
        <w:pStyle w:val="1008"/>
        <w:ind w:firstLine="420"/>
        <w:jc w:val="left"/>
        <w:spacing w:line="360" w:lineRule="auto"/>
        <w:rPr>
          <w:rFonts w:hint="eastAsia" w:ascii="宋体" w:hAnsi="宋体"/>
          <w:color w:val="000000"/>
        </w:rPr>
      </w:pPr>
      <w:r>
        <w:rPr>
          <w:rFonts w:hint="eastAsia" w:ascii="宋体" w:hAnsi="宋体"/>
          <w:color w:val="000000"/>
        </w:rPr>
        <w:t xml:space="preserve">25.1.1资格审查：依据法律法规和采购文件的规定，对响应文件中的资格证明文件进行审查。以确定供应商是否具备参加磋商的资格。</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25.1.3 未通过资格审查或符合性审查的供应商，代理机构将在“</w:t>
      </w:r>
      <w:r>
        <w:rPr>
          <w:rFonts w:hint="eastAsia"/>
          <w:b/>
          <w:bCs/>
          <w:color w:val="000000"/>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olor w:val="000000"/>
        </w:rPr>
      </w:r>
      <w:r/>
    </w:p>
    <w:p>
      <w:pPr>
        <w:pStyle w:val="1008"/>
        <w:ind w:firstLine="420"/>
        <w:jc w:val="left"/>
        <w:spacing w:line="360" w:lineRule="auto"/>
        <w:rPr>
          <w:rFonts w:ascii="宋体" w:hAnsi="宋体"/>
          <w:color w:val="000000"/>
        </w:rPr>
      </w:pPr>
      <w:r>
        <w:rPr>
          <w:rFonts w:hint="eastAsia" w:ascii="宋体" w:hAnsi="宋体"/>
          <w:color w:val="000000"/>
        </w:rPr>
        <w:t xml:space="preserve">25.4 供应商在开、评标全过程中应保持通讯畅通，并安排专人与代理机构及磋商小组联系。</w:t>
      </w:r>
      <w:r>
        <w:rPr>
          <w:rFonts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26、磋商程序及评审方法和标准</w:t>
      </w:r>
      <w:r>
        <w:rPr>
          <w:rFonts w:hint="eastAsia" w:ascii="宋体" w:hAnsi="宋体" w:eastAsia="宋体"/>
          <w:color w:val="000000"/>
          <w:sz w:val="21"/>
          <w:szCs w:val="21"/>
        </w:rPr>
      </w:r>
      <w:r/>
    </w:p>
    <w:p>
      <w:pPr>
        <w:pStyle w:val="1008"/>
        <w:ind w:firstLine="420"/>
        <w:spacing w:line="360" w:lineRule="auto"/>
        <w:rPr>
          <w:rFonts w:hint="eastAsia"/>
        </w:rPr>
      </w:pPr>
      <w:r>
        <w:rPr>
          <w:rFonts w:hint="eastAsia"/>
        </w:rPr>
        <w:t xml:space="preserve">26.1磋商程序</w:t>
      </w:r>
      <w:r>
        <w:rPr>
          <w:rFonts w:hint="eastAsia"/>
        </w:rPr>
      </w:r>
      <w:r/>
    </w:p>
    <w:p>
      <w:pPr>
        <w:pStyle w:val="1008"/>
        <w:ind w:firstLine="420"/>
        <w:spacing w:line="360" w:lineRule="auto"/>
        <w:rPr>
          <w:rFonts w:hint="eastAsia"/>
        </w:rPr>
      </w:pPr>
      <w:r>
        <w:rPr>
          <w:rFonts w:hint="eastAsia"/>
        </w:rPr>
        <w:t xml:space="preserve">26.1.1 对于通过资格性和符合性审查的供应商，磋商小组所有成员将集中与单一供应商在“政府采购管理交易系统（苏采云）”中分别进行磋商。</w:t>
      </w:r>
      <w:r>
        <w:rPr>
          <w:rFonts w:hint="eastAsia"/>
        </w:rPr>
      </w:r>
      <w:r/>
    </w:p>
    <w:p>
      <w:pPr>
        <w:pStyle w:val="1008"/>
        <w:ind w:firstLine="420"/>
        <w:spacing w:line="360" w:lineRule="auto"/>
        <w:rPr>
          <w:rFonts w:hint="eastAsia"/>
        </w:rPr>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rPr>
      </w:r>
      <w:r/>
    </w:p>
    <w:p>
      <w:pPr>
        <w:pStyle w:val="1008"/>
        <w:ind w:firstLine="420"/>
        <w:spacing w:line="360" w:lineRule="auto"/>
        <w:rPr>
          <w:rFonts w:hint="eastAsia"/>
        </w:rPr>
      </w:pPr>
      <w:r>
        <w:rPr>
          <w:rFonts w:hint="eastAsia"/>
        </w:rPr>
        <w:t xml:space="preserve"> 26.1.2 采购文件能够详细列明采购标的的技术、服务要求的，磋商结束后，磋商小组将要求所有实质性响应的供应商在规定时间内提交最后报价。</w:t>
      </w:r>
      <w:r>
        <w:rPr>
          <w:rFonts w:hint="eastAsia"/>
        </w:rPr>
      </w:r>
      <w:r/>
    </w:p>
    <w:p>
      <w:pPr>
        <w:pStyle w:val="1008"/>
        <w:ind w:firstLine="420"/>
        <w:spacing w:line="360" w:lineRule="auto"/>
        <w:rPr>
          <w:rFonts w:hint="eastAsia"/>
        </w:rPr>
      </w:pPr>
      <w:r>
        <w:rPr>
          <w:rFonts w:hint="eastAsia"/>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rPr>
      </w:r>
      <w:r/>
    </w:p>
    <w:p>
      <w:pPr>
        <w:pStyle w:val="1008"/>
        <w:ind w:firstLine="420"/>
        <w:spacing w:line="360" w:lineRule="auto"/>
        <w:rPr>
          <w:rFonts w:hint="eastAsia"/>
        </w:rPr>
      </w:pPr>
      <w:r>
        <w:rPr>
          <w:rFonts w:hint="eastAsia"/>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rPr>
      </w:r>
      <w:r/>
    </w:p>
    <w:p>
      <w:pPr>
        <w:pStyle w:val="1008"/>
        <w:ind w:firstLine="420"/>
        <w:spacing w:line="360" w:lineRule="auto"/>
        <w:rPr>
          <w:rFonts w:hint="eastAsia"/>
        </w:rPr>
      </w:pPr>
      <w:r>
        <w:rPr>
          <w:rFonts w:hint="eastAsia"/>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rPr>
      </w:r>
      <w:r/>
    </w:p>
    <w:p>
      <w:pPr>
        <w:pStyle w:val="1008"/>
        <w:ind w:firstLine="420"/>
        <w:spacing w:line="360" w:lineRule="auto"/>
        <w:rPr>
          <w:rFonts w:hint="eastAsia"/>
        </w:rPr>
      </w:pPr>
      <w:r>
        <w:rPr>
          <w:rFonts w:hint="eastAsia"/>
        </w:rPr>
        <w:t xml:space="preserve">26.2 评审方法和标准</w:t>
      </w:r>
      <w:r>
        <w:rPr>
          <w:rFonts w:hint="eastAsia"/>
        </w:rPr>
      </w:r>
      <w:r/>
    </w:p>
    <w:p>
      <w:pPr>
        <w:pStyle w:val="1008"/>
        <w:ind w:firstLine="420"/>
        <w:spacing w:line="360" w:lineRule="auto"/>
        <w:rPr>
          <w:rFonts w:hint="eastAsia"/>
        </w:rPr>
      </w:pPr>
      <w:r>
        <w:rPr>
          <w:rFonts w:hint="eastAsia"/>
        </w:rPr>
        <w:t xml:space="preserve">26.2.1评审方法。经磋商确定最终采购需求和提交最后报价的供应商后，由磋商小组采用综合评分法对提交最后报价的供应商的响应文件和最后报价进行综合评分。</w:t>
      </w:r>
      <w:r>
        <w:rPr>
          <w:rFonts w:hint="eastAsia"/>
        </w:rPr>
      </w:r>
      <w:r/>
    </w:p>
    <w:p>
      <w:pPr>
        <w:pStyle w:val="1008"/>
        <w:ind w:firstLine="420"/>
        <w:spacing w:line="360" w:lineRule="auto"/>
        <w:rPr>
          <w:rFonts w:hint="eastAsia"/>
        </w:rPr>
      </w:pPr>
      <w:r>
        <w:rPr>
          <w:rFonts w:hint="eastAsia"/>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rPr>
      </w:r>
      <w:r/>
    </w:p>
    <w:p>
      <w:pPr>
        <w:pStyle w:val="1008"/>
        <w:ind w:firstLine="420"/>
        <w:spacing w:line="360" w:lineRule="auto"/>
        <w:rPr>
          <w:rFonts w:hint="eastAsia"/>
        </w:rPr>
      </w:pPr>
      <w:r>
        <w:rPr>
          <w:rFonts w:hint="eastAsia"/>
        </w:rPr>
        <w:t xml:space="preserve">26.2.2评审标准</w:t>
      </w:r>
      <w:r>
        <w:rPr>
          <w:rFonts w:hint="eastAsia"/>
        </w:rPr>
      </w:r>
      <w:r/>
    </w:p>
    <w:p>
      <w:pPr>
        <w:pStyle w:val="1008"/>
        <w:ind w:firstLine="420"/>
        <w:spacing w:line="360" w:lineRule="auto"/>
        <w:rPr>
          <w:rFonts w:hint="eastAsia"/>
        </w:rPr>
      </w:pPr>
      <w:r>
        <w:rPr>
          <w:rFonts w:hint="eastAsia"/>
        </w:rPr>
        <w:t xml:space="preserve">见本采购文件第五章规定。</w:t>
      </w:r>
      <w:r>
        <w:rPr>
          <w:rFonts w:hint="eastAsia"/>
        </w:rPr>
      </w:r>
      <w:r/>
    </w:p>
    <w:p>
      <w:pPr>
        <w:pStyle w:val="1012"/>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27、无效响应及采购活动终止的情况</w:t>
      </w:r>
      <w:r>
        <w:rPr>
          <w:rFonts w:ascii="宋体" w:hAnsi="宋体" w:eastAsia="宋体"/>
          <w:b w:val="0"/>
          <w:bCs w:val="0"/>
          <w:color w:val="000000"/>
          <w:sz w:val="21"/>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27.1无效响应条款</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27.1.1 供应商未按照采购文件要求上传电子磋商响应文件的。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27.1.2 供应商未成功解密电子磋商响应文件的。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27.1.3 供应商不具备采购文件中规定资格要求的。</w:t>
      </w:r>
      <w:r>
        <w:rPr>
          <w:rFonts w:hint="eastAsia" w:ascii="宋体" w:hAnsi="宋体"/>
          <w:bCs/>
          <w:color w:val="000000"/>
          <w:szCs w:val="21"/>
        </w:rPr>
      </w:r>
      <w:r/>
    </w:p>
    <w:p>
      <w:pPr>
        <w:pStyle w:val="1008"/>
        <w:ind w:firstLine="420"/>
        <w:spacing w:line="440" w:lineRule="exact"/>
        <w:rPr>
          <w:rFonts w:hint="eastAsia" w:ascii="宋体" w:hAnsi="宋体"/>
          <w:bCs/>
          <w:i/>
          <w:color w:val="000000"/>
          <w:szCs w:val="21"/>
          <w:u w:val="single"/>
        </w:rPr>
      </w:pPr>
      <w:r>
        <w:rPr>
          <w:rFonts w:hint="eastAsia" w:ascii="宋体" w:hAnsi="宋体"/>
          <w:bCs/>
          <w:color w:val="000000"/>
          <w:szCs w:val="21"/>
        </w:rPr>
        <w:t xml:space="preserve">27.1.4 未通过符合性审查的。</w:t>
      </w:r>
      <w:r>
        <w:rPr>
          <w:rFonts w:hint="eastAsia" w:ascii="宋体" w:hAnsi="宋体"/>
          <w:bCs/>
          <w:i/>
          <w:color w:val="000000"/>
          <w:szCs w:val="21"/>
          <w:u w:val="single"/>
        </w:rPr>
      </w:r>
      <w:r/>
    </w:p>
    <w:p>
      <w:pPr>
        <w:pStyle w:val="1008"/>
        <w:ind w:firstLine="315"/>
        <w:spacing w:line="440" w:lineRule="exact"/>
        <w:rPr>
          <w:rFonts w:hint="eastAsia" w:ascii="宋体" w:hAnsi="宋体"/>
          <w:bCs/>
          <w:i/>
          <w:color w:val="000000"/>
          <w:szCs w:val="21"/>
          <w:u w:val="single"/>
        </w:rPr>
      </w:pPr>
      <w:r>
        <w:rPr>
          <w:rFonts w:hint="eastAsia" w:ascii="宋体" w:hAnsi="宋体"/>
          <w:bCs/>
          <w:color w:val="000000"/>
          <w:szCs w:val="21"/>
        </w:rPr>
        <w:t xml:space="preserve"> 27.1.5 不符合采购文件中规定的其他实质性要求和条件的（</w:t>
      </w:r>
      <w:r>
        <w:rPr>
          <w:rFonts w:hint="eastAsia" w:ascii="宋体" w:hAnsi="宋体"/>
          <w:bCs/>
          <w:i/>
          <w:color w:val="000000"/>
          <w:szCs w:val="21"/>
          <w:u w:val="single"/>
        </w:rPr>
        <w:t xml:space="preserve">本采购文件中斜体且有下划线部分为实质性要求和条件）。</w:t>
      </w:r>
      <w:r>
        <w:rPr>
          <w:rFonts w:hint="eastAsia" w:ascii="宋体" w:hAnsi="宋体"/>
          <w:bCs/>
          <w:i/>
          <w:color w:val="000000"/>
          <w:szCs w:val="21"/>
          <w:u w:val="single"/>
        </w:rPr>
      </w:r>
      <w:r/>
    </w:p>
    <w:p>
      <w:pPr>
        <w:pStyle w:val="1008"/>
        <w:ind w:firstLine="420"/>
        <w:spacing w:line="440" w:lineRule="exact"/>
        <w:rPr>
          <w:rFonts w:hint="eastAsia" w:ascii="宋体" w:hAnsi="宋体"/>
          <w:color w:val="000000"/>
          <w:highlight w:val="none"/>
        </w:rPr>
      </w:pPr>
      <w:r>
        <w:rPr>
          <w:rFonts w:hint="eastAsia" w:ascii="宋体" w:hAnsi="宋体"/>
          <w:bCs/>
          <w:color w:val="000000"/>
          <w:szCs w:val="21"/>
        </w:rPr>
        <w:t xml:space="preserve">27.1.6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w:t>
      </w:r>
      <w:r>
        <w:rPr>
          <w:rFonts w:hint="eastAsia" w:ascii="宋体" w:hAnsi="宋体"/>
          <w:color w:val="000000"/>
          <w:highlight w:val="none"/>
        </w:rPr>
        <w:t xml:space="preserve">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olor w:val="000000"/>
          <w:highlight w:val="none"/>
        </w:rPr>
      </w:r>
      <w:r/>
    </w:p>
    <w:p>
      <w:pPr>
        <w:pStyle w:val="1008"/>
        <w:ind w:firstLine="420"/>
        <w:spacing w:line="440" w:lineRule="exact"/>
        <w:rPr>
          <w:rFonts w:hint="eastAsia" w:ascii="宋体" w:hAnsi="宋体"/>
          <w:color w:val="000000"/>
        </w:rPr>
      </w:pPr>
      <w:r>
        <w:rPr>
          <w:rFonts w:hint="eastAsia" w:ascii="宋体" w:hAnsi="宋体"/>
          <w:color w:val="000000"/>
          <w:highlight w:val="none"/>
        </w:rPr>
        <w:t xml:space="preserve">27.1.7本项目采购产品被财政部、国家发改委、生态环境部等列入“节能产品品目清单”</w:t>
      </w:r>
      <w:r>
        <w:rPr>
          <w:rFonts w:hint="eastAsia" w:ascii="宋体" w:hAnsi="宋体"/>
          <w:color w:val="000000"/>
        </w:rPr>
        <w:t xml:space="preserve">、“环境标志产品品目清单”强制采购范围，而供应商所磋商产品不在强制采购范围内的。</w:t>
      </w:r>
      <w:r>
        <w:rPr>
          <w:rFonts w:hint="eastAsia" w:ascii="宋体" w:hAnsi="宋体"/>
          <w:color w:val="000000"/>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27.1.8响应文件未按照采购文件要求加盖电子签章。</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27.1.9 其他法律、法规及本采购文件规定的属无效响应的情形。</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 </w:t>
      </w:r>
      <w:r>
        <w:rPr>
          <w:rFonts w:hint="eastAsia" w:ascii="宋体" w:hAnsi="宋体"/>
          <w:color w:val="000000"/>
          <w:szCs w:val="21"/>
        </w:rPr>
        <w:t xml:space="preserve">采购活动终止的情况</w:t>
      </w:r>
      <w:r>
        <w:rPr>
          <w:rFonts w:hint="eastAsia" w:ascii="宋体" w:hAnsi="宋体"/>
          <w:bCs/>
          <w:color w:val="000000"/>
          <w:szCs w:val="21"/>
        </w:rPr>
        <w:t xml:space="preserve">：</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27.2.1 因情况变化，不再符合规定的竞争性磋商采购方式适用情形的；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27.2.2 出现影响采购公正的违法、违规行为的；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27.2.3 </w:t>
      </w:r>
      <w:r>
        <w:rPr>
          <w:rFonts w:hint="eastAsia" w:ascii="宋体" w:hAnsi="宋体"/>
          <w:color w:val="000000"/>
          <w:szCs w:val="21"/>
        </w:rPr>
        <w:t xml:space="preserve">除本磋商文件第26.1.2条第三款规定的情形外，在采购过程中符合要求的供应商或者报价未超过采购预算的供应商不足3家的。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27.2.4 因重大变故，采购任务取消的。</w:t>
      </w:r>
      <w:r>
        <w:rPr>
          <w:rFonts w:hint="eastAsia" w:ascii="宋体" w:hAnsi="宋体"/>
          <w:bCs/>
          <w:color w:val="000000"/>
          <w:szCs w:val="21"/>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28、确定成交单位</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28.1 </w:t>
      </w:r>
      <w:r>
        <w:rPr>
          <w:rFonts w:hint="eastAsia" w:ascii="宋体" w:hAnsi="宋体"/>
          <w:color w:val="000000"/>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28.2 采购人应根据磋商推荐的成交候选人，按照排序由高到低的原件确定成交供应商。</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28.3 代理机构将在“仪征市政府采购网”、“扬州市政府采购网”、“江苏省政府采购网”</w:t>
      </w:r>
      <w:r>
        <w:rPr>
          <w:rFonts w:hint="eastAsia" w:ascii="宋体" w:hAnsi="宋体"/>
          <w:color w:val="000000"/>
          <w:lang w:eastAsia="zh-CN"/>
        </w:rPr>
        <w:t xml:space="preserve">、“</w:t>
      </w:r>
      <w:r>
        <w:rPr>
          <w:rFonts w:hint="eastAsia" w:ascii="宋体" w:hAnsi="宋体"/>
          <w:color w:val="000000"/>
          <w:lang w:val="en-US" w:eastAsia="zh-CN"/>
        </w:rPr>
        <w:t xml:space="preserve">中国政府采购网</w:t>
      </w:r>
      <w:r>
        <w:rPr>
          <w:rFonts w:hint="eastAsia" w:ascii="宋体" w:hAnsi="宋体"/>
          <w:color w:val="000000"/>
          <w:lang w:eastAsia="zh-CN"/>
        </w:rPr>
        <w:t xml:space="preserve">”</w:t>
      </w:r>
      <w:r>
        <w:rPr>
          <w:rFonts w:hint="eastAsia" w:ascii="宋体" w:hAnsi="宋体"/>
          <w:color w:val="000000"/>
        </w:rPr>
        <w:t xml:space="preserve">发布成交公告，公告期限为1个工作日。</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 若有充分证据证明，成交供应商出现下列情况之一的，一经查实，将被取消成交资格：</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28.4.1 提供虚假材料谋取成交的；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28.4.2 向采购人、代理机构行贿或者提供其他不正当利益的；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28.4.3 恶意竞争，最终总报价明显低于其自身合理成本且又无法提供证明的；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28.4.4 属于本文件规定的无效条件，但在评审过程中又未被磋商小组发现的；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28.4.5 与采购人或者其他供应商恶意串通的；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28.4.6 采取不正当手段诋毁、排挤其他供应商的；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28.4.7 不符合法律、法规的规定的。</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29、质疑处理</w:t>
      </w:r>
      <w:r>
        <w:rPr>
          <w:rFonts w:hint="eastAsia" w:ascii="宋体" w:hAnsi="宋体" w:eastAsia="宋体"/>
          <w:color w:val="000000"/>
          <w:sz w:val="21"/>
          <w:szCs w:val="21"/>
        </w:rPr>
      </w:r>
      <w:r/>
    </w:p>
    <w:p>
      <w:pPr>
        <w:pStyle w:val="1008"/>
        <w:ind w:firstLine="420"/>
        <w:spacing w:line="480" w:lineRule="exact"/>
        <w:rPr>
          <w:rFonts w:hint="eastAsia" w:ascii="宋体" w:hAnsi="宋体"/>
          <w:color w:val="000000"/>
          <w:szCs w:val="21"/>
        </w:rPr>
      </w:pPr>
      <w:r>
        <w:rPr>
          <w:rFonts w:hint="eastAsia" w:ascii="宋体" w:hAnsi="宋体"/>
          <w:color w:val="000000"/>
        </w:rPr>
        <w:t xml:space="preserve">29.1</w:t>
      </w:r>
      <w:r>
        <w:rPr>
          <w:rFonts w:hint="eastAsia" w:ascii="宋体" w:hAnsi="宋体"/>
          <w:color w:val="000000"/>
          <w:szCs w:val="21"/>
        </w:rPr>
        <w:t xml:space="preserve">提出质疑的供应商应当是参与所质疑项目采购活动的供应商。潜在供应商依法获取其可质疑的采购文件的，可以对采购文件提出质疑。</w:t>
      </w:r>
      <w:r>
        <w:rPr>
          <w:rFonts w:hint="eastAsia" w:ascii="宋体" w:hAnsi="宋体"/>
          <w:color w:val="000000"/>
          <w:szCs w:val="21"/>
        </w:rPr>
      </w:r>
      <w:r/>
    </w:p>
    <w:p>
      <w:pPr>
        <w:pStyle w:val="1008"/>
        <w:ind w:firstLine="420"/>
        <w:spacing w:line="480" w:lineRule="exact"/>
        <w:rPr>
          <w:rFonts w:hint="eastAsia" w:ascii="宋体" w:hAnsi="宋体"/>
          <w:color w:val="000000"/>
          <w:szCs w:val="21"/>
        </w:rPr>
      </w:pPr>
      <w:r>
        <w:rPr>
          <w:rFonts w:hint="eastAsia" w:ascii="宋体" w:hAnsi="宋体"/>
          <w:color w:val="000000"/>
          <w:szCs w:val="21"/>
        </w:rPr>
        <w:t xml:space="preserve">对项目需求部分的质疑，潜在供应商应向采购人提出，由采购人负责答复。</w:t>
      </w:r>
      <w:r>
        <w:rPr>
          <w:rFonts w:hint="eastAsia" w:ascii="宋体" w:hAnsi="宋体"/>
          <w:color w:val="000000"/>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olor w:val="000000"/>
          <w:szCs w:val="21"/>
        </w:rPr>
      </w:r>
      <w:r/>
    </w:p>
    <w:p>
      <w:pPr>
        <w:pStyle w:val="1008"/>
        <w:ind w:firstLine="420"/>
        <w:jc w:val="left"/>
        <w:spacing w:line="360" w:lineRule="auto"/>
        <w:rPr>
          <w:rFonts w:hint="eastAsia" w:ascii="宋体" w:hAnsi="宋体"/>
          <w:color w:val="000000"/>
        </w:rPr>
      </w:pPr>
      <w:r>
        <w:rPr>
          <w:rFonts w:hint="eastAsia" w:ascii="宋体" w:hAnsi="宋体"/>
          <w:color w:val="000000"/>
        </w:rPr>
        <w:t xml:space="preserve">29.2.1对采购文件提出质疑的，应当在获取采购文件之日或者采购文件公告期限届满之日起7个工作日内提出。</w:t>
      </w:r>
      <w:r>
        <w:rPr>
          <w:rFonts w:hint="eastAsia" w:ascii="宋体" w:hAnsi="宋体"/>
          <w:color w:val="000000"/>
        </w:rPr>
        <w:br w:type="textWrapping" w:clear="all"/>
      </w:r>
      <w:r>
        <w:rPr>
          <w:rFonts w:hint="eastAsia" w:ascii="宋体" w:hAnsi="宋体"/>
          <w:color w:val="000000"/>
        </w:rPr>
        <w:t xml:space="preserve">    29.2.2对采购过程提出质疑的，为各采购程序环节结束之日起7个工作日内提出。</w:t>
      </w:r>
      <w:r>
        <w:rPr>
          <w:rFonts w:hint="eastAsia" w:ascii="宋体" w:hAnsi="宋体"/>
          <w:color w:val="000000"/>
        </w:rPr>
        <w:br w:type="textWrapping" w:clear="all"/>
      </w:r>
      <w:r>
        <w:rPr>
          <w:rFonts w:hint="eastAsia" w:ascii="宋体" w:hAnsi="宋体"/>
          <w:color w:val="000000"/>
        </w:rPr>
        <w:t xml:space="preserve">    29.2.3对成交结果提出质疑的，为成交结果公告期限届满之日起7个工作日内提出。</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olor w:val="000000"/>
        </w:rPr>
      </w:r>
      <w:r/>
    </w:p>
    <w:p>
      <w:pPr>
        <w:pStyle w:val="1008"/>
        <w:ind w:firstLine="409"/>
        <w:spacing w:line="360" w:lineRule="auto"/>
        <w:rPr>
          <w:rFonts w:hint="eastAsia" w:ascii="宋体" w:hAnsi="宋体"/>
          <w:color w:val="000000"/>
          <w:highlight w:val="none"/>
        </w:rPr>
      </w:pPr>
      <w:r>
        <w:rPr>
          <w:rFonts w:hint="eastAsia" w:ascii="宋体" w:hAnsi="宋体"/>
          <w:color w:val="000000"/>
        </w:rPr>
        <w:t xml:space="preserve">29.4质疑函必须按照《质疑函范本》及</w:t>
      </w:r>
      <w:r>
        <w:rPr>
          <w:rFonts w:hint="eastAsia" w:ascii="宋体" w:hAnsi="宋体"/>
          <w:color w:val="000000"/>
          <w:highlight w:val="none"/>
        </w:rPr>
        <w:t xml:space="preserve">《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olor w:val="000000"/>
          <w:highlight w:val="none"/>
        </w:rPr>
      </w:r>
      <w:r/>
    </w:p>
    <w:p>
      <w:pPr>
        <w:pStyle w:val="1008"/>
        <w:ind w:firstLine="409"/>
        <w:spacing w:line="360" w:lineRule="auto"/>
        <w:rPr>
          <w:rFonts w:hint="eastAsia" w:ascii="宋体" w:hAnsi="宋体"/>
          <w:color w:val="000000"/>
        </w:rPr>
      </w:pPr>
      <w:r>
        <w:rPr>
          <w:rFonts w:hint="eastAsia" w:ascii="宋体" w:hAnsi="宋体"/>
          <w:color w:val="000000"/>
          <w:highlight w:val="none"/>
        </w:rPr>
        <w:t xml:space="preserve">29.5 代理机构及采购人只接收以纸质原件形式送达</w:t>
      </w:r>
      <w:r>
        <w:rPr>
          <w:rFonts w:hint="eastAsia" w:ascii="宋体" w:hAnsi="宋体"/>
          <w:color w:val="000000"/>
        </w:rPr>
        <w:t xml:space="preserve">的质疑。</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采购人质疑接收人及联系方式见采购文件第一章。</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29.6代理机构收到质疑申请后，将对质疑的形式和内容进行审查，如质疑内容、格式不符合规定，代理机构将告知质疑人进行补正。</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29.7质疑人应当在法定质疑期限内进行补正并重新提交质疑函。</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 以下情形的质疑不予受理</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29.8.1 内容不符合《政府采购质疑和投诉办法》第十二条规定的质疑。</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29.8.2 超出政府采购法定期限的质疑。</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29.8.3 以传真、电子邮件等方式递交的非原件形式的质疑。</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29.8.4 未参加磋商活动的供应商或在磋商活动中自身权益未受到损害的供应商所提出的质疑。</w:t>
      </w:r>
      <w:r>
        <w:rPr>
          <w:rFonts w:hint="eastAsia" w:ascii="宋体" w:hAnsi="宋体"/>
          <w:color w:val="000000"/>
        </w:rPr>
      </w:r>
      <w:r/>
    </w:p>
    <w:p>
      <w:pPr>
        <w:pStyle w:val="1008"/>
        <w:ind w:firstLine="409"/>
        <w:spacing w:line="360" w:lineRule="auto"/>
        <w:rPr>
          <w:rFonts w:hint="eastAsia" w:ascii="宋体" w:hAnsi="宋体"/>
          <w:color w:val="000000"/>
          <w:highlight w:val="none"/>
        </w:rPr>
      </w:pPr>
      <w:r>
        <w:rPr>
          <w:rFonts w:hint="eastAsia" w:ascii="宋体" w:hAnsi="宋体"/>
          <w:color w:val="000000"/>
        </w:rPr>
        <w:t xml:space="preserve">29.8.5供应商组成</w:t>
      </w:r>
      <w:r>
        <w:rPr>
          <w:rFonts w:hint="eastAsia" w:ascii="宋体" w:hAnsi="宋体"/>
          <w:color w:val="000000"/>
          <w:highlight w:val="none"/>
        </w:rPr>
        <w:t xml:space="preserve">联合体参加磋商，联合体中任何一方或多方未按要求签字、盖章、加盖公章的质疑。</w:t>
      </w:r>
      <w:r>
        <w:rPr>
          <w:rFonts w:hint="eastAsia" w:ascii="宋体" w:hAnsi="宋体"/>
          <w:color w:val="000000"/>
          <w:highlight w:val="none"/>
        </w:rPr>
      </w:r>
      <w:r/>
    </w:p>
    <w:p>
      <w:pPr>
        <w:pStyle w:val="1008"/>
        <w:ind w:firstLine="409"/>
        <w:spacing w:line="360" w:lineRule="auto"/>
        <w:rPr>
          <w:rFonts w:hint="eastAsia" w:ascii="宋体" w:hAnsi="宋体"/>
          <w:color w:val="000000"/>
        </w:rPr>
      </w:pPr>
      <w:r>
        <w:rPr>
          <w:rFonts w:hint="eastAsia" w:ascii="宋体" w:hAnsi="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30、成交通知书</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30.l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rPr>
          <w:rFonts w:hint="eastAsia" w:ascii="宋体" w:hAnsi="宋体"/>
          <w:color w:val="000000"/>
          <w:szCs w:val="21"/>
        </w:rPr>
      </w:r>
      <w:r/>
    </w:p>
    <w:p>
      <w:pPr>
        <w:pStyle w:val="1008"/>
        <w:ind w:firstLine="420"/>
        <w:spacing w:line="360" w:lineRule="auto"/>
        <w:rPr>
          <w:rFonts w:ascii="宋体" w:hAnsi="宋体"/>
          <w:color w:val="000000"/>
        </w:rPr>
      </w:pPr>
      <w:r>
        <w:rPr>
          <w:rFonts w:hint="eastAsia" w:ascii="宋体" w:hAnsi="宋体"/>
          <w:color w:val="000000"/>
        </w:rPr>
        <w:t xml:space="preserve">30.2 成交供应商可在</w:t>
      </w:r>
      <w:r>
        <w:rPr>
          <w:rFonts w:hint="eastAsia" w:ascii="宋体" w:hAnsi="宋体"/>
          <w:color w:val="000000"/>
          <w:szCs w:val="21"/>
        </w:rPr>
        <w:t xml:space="preserve">“</w:t>
      </w:r>
      <w:r>
        <w:rPr>
          <w:rFonts w:hint="eastAsia"/>
          <w:color w:val="000000"/>
        </w:rPr>
        <w:t xml:space="preserve">扬州市政府采购交易管理系统（苏采云）</w:t>
      </w:r>
      <w:r>
        <w:rPr>
          <w:rFonts w:hint="eastAsia" w:ascii="宋体" w:hAnsi="宋体"/>
          <w:color w:val="000000"/>
          <w:szCs w:val="21"/>
        </w:rPr>
        <w:t xml:space="preserve">”成交通知书下载模块中自行下载成交通知书。</w:t>
      </w:r>
      <w:r>
        <w:rPr>
          <w:rFonts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31.l成交供应商应在成交通知书发出之日起十五日内，按照采购文件确定的事项与采购人签订政府采购合同。</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31.2</w:t>
      </w:r>
      <w:r>
        <w:rPr>
          <w:rFonts w:hint="eastAsia" w:ascii="宋体" w:hAnsi="宋体"/>
          <w:b/>
          <w:bCs/>
          <w:color w:val="000000"/>
        </w:rPr>
        <w:t xml:space="preserve"> </w:t>
      </w:r>
      <w:r>
        <w:rPr>
          <w:rFonts w:hint="eastAsia" w:ascii="宋体" w:hAnsi="宋体"/>
          <w:color w:val="000000"/>
        </w:rPr>
        <w:t xml:space="preserve">采购文件、成交供应商的响应文件及磋商过程中有关澄清、承诺文件均应作为合同附件。</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olor w:val="000000"/>
        </w:rPr>
      </w:r>
      <w:r/>
    </w:p>
    <w:p>
      <w:pPr>
        <w:pStyle w:val="1012"/>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32、其他</w:t>
      </w:r>
      <w:r>
        <w:rPr>
          <w:rFonts w:ascii="宋体" w:hAnsi="宋体" w:eastAsia="宋体"/>
          <w:color w:val="000000"/>
          <w:sz w:val="21"/>
          <w:szCs w:val="21"/>
        </w:rPr>
      </w:r>
      <w:r/>
    </w:p>
    <w:p>
      <w:pPr>
        <w:pStyle w:val="1008"/>
        <w:ind w:firstLine="420"/>
        <w:spacing w:line="360" w:lineRule="auto"/>
        <w:rPr>
          <w:rFonts w:ascii="宋体" w:hAnsi="宋体"/>
          <w:color w:val="000000"/>
        </w:rPr>
      </w:pPr>
      <w:r>
        <w:rPr>
          <w:rFonts w:hint="eastAsia" w:ascii="宋体" w:hAnsi="宋体"/>
          <w:color w:val="000000"/>
        </w:rPr>
        <w:t xml:space="preserve">32.1依据《政府采购促进中小企业发展管理办法》享受扶持政策获得政府采购合同的，小微企业不得将合同分包给大中型企业，中型企业不得将合同分包给大型企业。</w:t>
      </w:r>
      <w:r>
        <w:rPr>
          <w:rFonts w:ascii="宋体" w:hAnsi="宋体"/>
          <w:color w:val="000000"/>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jc w:val="both"/>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9"/>
        <w:jc w:val="center"/>
        <w:rPr>
          <w:rFonts w:hint="eastAsia"/>
          <w:sz w:val="30"/>
          <w:szCs w:val="30"/>
        </w:rPr>
      </w:pPr>
      <w:r>
        <w:rPr>
          <w:rFonts w:hint="eastAsia"/>
          <w:sz w:val="30"/>
          <w:szCs w:val="30"/>
        </w:rPr>
        <w:t xml:space="preserve">第三章 合同条款及格式</w:t>
      </w:r>
      <w:bookmarkEnd w:id="44"/>
      <w:r>
        <w:rPr>
          <w:rFonts w:hint="eastAsia"/>
          <w:sz w:val="30"/>
          <w:szCs w:val="30"/>
        </w:rPr>
      </w:r>
      <w:r/>
    </w:p>
    <w:p>
      <w:pPr>
        <w:pStyle w:val="1089"/>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以下为中标后签定本项目合同的通用条款，中标供应商不得提出实质性的修改；关于专用条款将由采购人与中标供应商结合本项目具体情况协商后补充，但补充内容对</w:t>
      </w:r>
      <w:r>
        <w:rPr>
          <w:rFonts w:hint="eastAsia" w:hAnsi="宋体" w:eastAsia="宋体" w:cs="宋体"/>
          <w:color w:val="000000"/>
          <w:sz w:val="21"/>
          <w:highlight w:val="none"/>
          <w:lang w:val="en-US" w:eastAsia="zh-CN"/>
        </w:rPr>
        <w:t xml:space="preserve">磋商</w:t>
      </w:r>
      <w:r>
        <w:rPr>
          <w:rFonts w:hint="eastAsia" w:hAnsi="宋体" w:eastAsia="宋体" w:cs="宋体"/>
          <w:color w:val="000000"/>
          <w:sz w:val="21"/>
          <w:highlight w:val="none"/>
        </w:rPr>
        <w:t xml:space="preserve">文件和</w:t>
      </w:r>
      <w:r>
        <w:rPr>
          <w:rFonts w:hint="eastAsia" w:hAnsi="宋体" w:eastAsia="宋体" w:cs="宋体"/>
          <w:color w:val="000000"/>
          <w:sz w:val="21"/>
          <w:highlight w:val="none"/>
          <w:lang w:val="en-US" w:eastAsia="zh-CN"/>
        </w:rPr>
        <w:t xml:space="preserve">响应</w:t>
      </w:r>
      <w:r>
        <w:rPr>
          <w:rFonts w:hint="eastAsia" w:hAnsi="宋体" w:eastAsia="宋体" w:cs="宋体"/>
          <w:color w:val="000000"/>
          <w:sz w:val="21"/>
          <w:highlight w:val="none"/>
        </w:rPr>
        <w:t xml:space="preserve">文件以及通用条款，不得作实质性修改。</w:t>
      </w:r>
      <w:r>
        <w:rPr>
          <w:rFonts w:hAnsi="宋体" w:eastAsia="宋体" w:cs="宋体"/>
          <w:color w:val="000000"/>
          <w:sz w:val="21"/>
          <w:highlight w:val="none"/>
        </w:rPr>
      </w:r>
      <w:r/>
    </w:p>
    <w:p>
      <w:pPr>
        <w:pStyle w:val="1033"/>
        <w:ind w:firstLine="402"/>
        <w:jc w:val="center"/>
        <w:spacing w:before="600" w:after="24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1033"/>
        <w:ind w:firstLine="400"/>
        <w:jc w:val="left"/>
        <w:spacing w:before="120" w:after="120" w:line="360" w:lineRule="auto"/>
        <w:rPr>
          <w:rFonts w:hint="eastAsia" w:hAnsi="宋体"/>
          <w:color w:val="000000"/>
          <w:highlight w:val="none"/>
        </w:rPr>
      </w:pPr>
      <w:r>
        <w:rPr>
          <w:rFonts w:hint="eastAsia" w:hAnsi="宋体"/>
          <w:color w:val="000000"/>
          <w:highlight w:val="none"/>
        </w:rPr>
        <w:t xml:space="preserve">项目名称：       </w:t>
      </w:r>
      <w:r>
        <w:rPr>
          <w:rFonts w:hint="eastAsia" w:hAnsi="宋体"/>
          <w:color w:val="000000"/>
          <w:highlight w:val="none"/>
        </w:rPr>
      </w:r>
      <w:r/>
    </w:p>
    <w:p>
      <w:pPr>
        <w:pStyle w:val="1033"/>
        <w:ind w:firstLine="400"/>
        <w:jc w:val="left"/>
        <w:spacing w:before="120" w:after="120" w:line="360" w:lineRule="auto"/>
        <w:rPr>
          <w:rFonts w:hint="eastAsia"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JSXYYY-2025-11</w:t>
      </w:r>
      <w:r>
        <w:rPr>
          <w:rFonts w:hint="eastAsia" w:hAnsi="宋体" w:eastAsia="宋体"/>
          <w:color w:val="000000"/>
          <w:highlight w:val="none"/>
          <w:u w:val="single"/>
          <w:lang w:val="en-US" w:eastAsia="zh-CN"/>
        </w:rPr>
      </w:r>
      <w:r/>
    </w:p>
    <w:p>
      <w:pPr>
        <w:pStyle w:val="1033"/>
        <w:ind w:firstLine="400"/>
        <w:spacing w:before="120" w:after="120" w:line="360" w:lineRule="auto"/>
        <w:rPr>
          <w:rFonts w:hint="eastAsia" w:hAnsi="宋体" w:eastAsia="宋体"/>
          <w:color w:val="000000"/>
          <w:highlight w:val="none"/>
          <w:u w:val="single"/>
          <w:lang w:eastAsia="zh-CN"/>
        </w:rPr>
      </w:pPr>
      <w:r>
        <w:rPr>
          <w:rFonts w:hint="eastAsia" w:hAnsi="宋体"/>
          <w:color w:val="000000"/>
          <w:highlight w:val="none"/>
        </w:rPr>
        <w:t xml:space="preserve">甲方：（买方）</w:t>
      </w:r>
      <w:r>
        <w:rPr>
          <w:rFonts w:hint="eastAsia" w:hAnsi="宋体"/>
          <w:color w:val="000000"/>
          <w:highlight w:val="none"/>
          <w:u w:val="single"/>
          <w:lang w:eastAsia="zh-CN"/>
        </w:rPr>
        <w:t xml:space="preserve">仪征市发展和改革委员会</w:t>
      </w:r>
      <w:r>
        <w:rPr>
          <w:rFonts w:hint="eastAsia" w:hAnsi="宋体" w:eastAsia="宋体"/>
          <w:color w:val="000000"/>
          <w:highlight w:val="none"/>
          <w:u w:val="single"/>
          <w:lang w:eastAsia="zh-CN"/>
        </w:rPr>
      </w:r>
      <w:r/>
    </w:p>
    <w:p>
      <w:pPr>
        <w:pStyle w:val="1033"/>
        <w:ind w:firstLine="40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江苏星宇仪邮项目管理有限公司</w:t>
      </w:r>
      <w:r>
        <w:rPr>
          <w:rFonts w:hint="eastAsia" w:hAnsi="宋体"/>
          <w:color w:val="000000"/>
          <w:highlight w:val="none"/>
        </w:rPr>
        <w:t xml:space="preserve"> </w:t>
      </w:r>
      <w:r>
        <w:rPr>
          <w:rFonts w:hint="eastAsia" w:hAnsi="宋体"/>
          <w:color w:val="000000"/>
          <w:highlight w:val="none"/>
          <w:u w:val="single"/>
          <w:lang w:eastAsia="zh-CN"/>
        </w:rPr>
        <w:t xml:space="preserve">仪征市发改委“十五五”专项规划编制服务项目（二次）</w:t>
      </w:r>
      <w:r>
        <w:rPr>
          <w:rFonts w:hint="eastAsia" w:hAnsi="宋体"/>
          <w:color w:val="000000"/>
          <w:highlight w:val="none"/>
          <w:lang w:val="en-US" w:eastAsia="zh-CN"/>
        </w:rPr>
        <w:t xml:space="preserve">公</w:t>
      </w:r>
      <w:r>
        <w:rPr>
          <w:rFonts w:hint="eastAsia" w:hAnsi="宋体"/>
          <w:color w:val="000000"/>
          <w:highlight w:val="none"/>
          <w:lang w:val="en-US" w:eastAsia="zh-CN"/>
        </w:rPr>
        <w:t xml:space="preserve">开招标</w:t>
      </w:r>
      <w:r>
        <w:rPr>
          <w:rFonts w:hint="eastAsia" w:hAnsi="宋体"/>
          <w:color w:val="000000"/>
          <w:highlight w:val="none"/>
        </w:rPr>
        <w:t xml:space="preserve">的结果，签署本合同。</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一、服务及产品内容</w:t>
      </w:r>
      <w:r>
        <w:rPr>
          <w:rFonts w:hint="eastAsia" w:hAnsi="宋体"/>
          <w:b/>
          <w:bCs/>
          <w:color w:val="000000"/>
          <w:highlight w:val="none"/>
        </w:rPr>
      </w:r>
      <w:r/>
    </w:p>
    <w:p>
      <w:pPr>
        <w:pStyle w:val="1033"/>
        <w:ind w:firstLine="40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1.1 项目（产品）名称：</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1033"/>
        <w:ind w:firstLine="400"/>
        <w:spacing w:before="120" w:after="120" w:line="360" w:lineRule="auto"/>
        <w:rPr>
          <w:rFonts w:hAnsi="宋体"/>
          <w:color w:val="000000"/>
          <w:highlight w:val="none"/>
        </w:rPr>
      </w:pPr>
      <w:r>
        <w:rPr>
          <w:rFonts w:hint="eastAsia" w:hAnsi="宋体"/>
          <w:color w:val="000000"/>
          <w:highlight w:val="none"/>
        </w:rPr>
        <w:t xml:space="preserve">1.2 项目服务内容：</w:t>
      </w:r>
      <w:r>
        <w:rPr>
          <w:rFonts w:hint="eastAsia" w:hAnsi="宋体"/>
          <w:color w:val="000000"/>
          <w:highlight w:val="none"/>
          <w:u w:val="single"/>
        </w:rPr>
        <w:t xml:space="preserve">详见招标文件项目需求</w:t>
      </w:r>
      <w:r>
        <w:rPr>
          <w:rFonts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三、技术资料</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乙方保证所交付的服务或产品的所有权完全属于乙方且无任何抵押、查封等产权瑕疵。</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Ansi="宋体"/>
          <w:color w:val="000000"/>
          <w:highlight w:val="none"/>
        </w:rPr>
        <w:t xml:space="preserve">6.1 收取履约保证金的，</w:t>
      </w:r>
      <w:r>
        <w:rPr>
          <w:rFonts w:hint="eastAsia" w:hAnsi="宋体"/>
          <w:color w:val="000000"/>
          <w:highlight w:val="none"/>
        </w:rPr>
        <w:t xml:space="preserve">允许中标人自主选择支票、汇票、本票、保函等非现金形式缴纳或提交，</w:t>
      </w:r>
      <w:r>
        <w:rPr>
          <w:rFonts w:hAnsi="宋体"/>
          <w:color w:val="000000"/>
          <w:highlight w:val="none"/>
        </w:rPr>
        <w:t xml:space="preserve">应当在采购合同中约定履约保证金退还的方式、时间、条件和不予退还的情形，明确逾期退还履约保证金的违约责任。</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highlight w:val="none"/>
        </w:rPr>
      </w:r>
      <w:r/>
    </w:p>
    <w:p>
      <w:pPr>
        <w:pStyle w:val="1033"/>
        <w:ind w:firstLine="400"/>
        <w:spacing w:before="120" w:after="120" w:line="360" w:lineRule="auto"/>
        <w:rPr>
          <w:rFonts w:hint="eastAsia" w:hAnsi="宋体" w:cs="宋体"/>
          <w:highlight w:val="none"/>
        </w:rPr>
      </w:pPr>
      <w:r>
        <w:rPr>
          <w:rFonts w:hint="eastAsia" w:hAnsi="宋体" w:cs="宋体"/>
          <w:highlight w:val="none"/>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w:t>
      </w:r>
      <w:r>
        <w:rPr>
          <w:rFonts w:hint="eastAsia" w:hAnsi="宋体" w:cs="宋体"/>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6.4 履约保证金收取：</w:t>
      </w:r>
      <w:r>
        <w:rPr>
          <w:rFonts w:hint="eastAsia" w:hAnsi="宋体"/>
          <w:color w:val="000000"/>
          <w:highlight w:val="none"/>
          <w:u w:val="single"/>
        </w:rPr>
        <w:t xml:space="preserve">无</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八、质保期</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8.1 质保期</w:t>
      </w:r>
      <w:r>
        <w:rPr>
          <w:rFonts w:hint="eastAsia" w:hAnsi="宋体"/>
          <w:color w:val="000000"/>
          <w:highlight w:val="none"/>
          <w:u w:val="single"/>
        </w:rPr>
        <w:t xml:space="preserve">      </w:t>
      </w:r>
      <w:r>
        <w:rPr>
          <w:rFonts w:hint="eastAsia" w:hAnsi="宋体"/>
          <w:color w:val="000000"/>
          <w:highlight w:val="none"/>
        </w:rPr>
        <w:t xml:space="preserve">年。（自交货验收合格之日起计）</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九、交付期、交付方式及交付地点</w:t>
      </w:r>
      <w:r>
        <w:rPr>
          <w:rFonts w:hint="eastAsia" w:hAnsi="宋体"/>
          <w:b/>
          <w:bCs/>
          <w:color w:val="000000"/>
          <w:highlight w:val="none"/>
        </w:rPr>
      </w:r>
      <w:r/>
    </w:p>
    <w:p>
      <w:pPr>
        <w:pStyle w:val="1033"/>
        <w:ind w:firstLine="400"/>
        <w:spacing w:before="120" w:after="120" w:line="360" w:lineRule="auto"/>
        <w:rPr>
          <w:rFonts w:hAnsi="宋体"/>
          <w:color w:val="000000"/>
          <w:highlight w:val="none"/>
          <w:u w:val="single"/>
        </w:rPr>
      </w:pPr>
      <w:r>
        <w:rPr>
          <w:rFonts w:hint="eastAsia" w:hAnsi="宋体"/>
          <w:color w:val="000000"/>
          <w:highlight w:val="none"/>
        </w:rPr>
        <w:t xml:space="preserve">9.1 交付期：</w:t>
      </w:r>
      <w:r>
        <w:rPr>
          <w:rFonts w:hint="eastAsia" w:hAnsi="宋体"/>
          <w:color w:val="000000"/>
          <w:highlight w:val="none"/>
          <w:u w:val="single"/>
        </w:rPr>
        <w:t xml:space="preserve">                                       </w:t>
      </w:r>
      <w:r>
        <w:rPr>
          <w:rFonts w:hAnsi="宋体"/>
          <w:color w:val="000000"/>
          <w:highlight w:val="none"/>
          <w:u w:val="singl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9.2 交付方式：</w:t>
      </w:r>
      <w:r>
        <w:rPr>
          <w:rFonts w:hint="eastAsia" w:hAnsi="宋体"/>
          <w:color w:val="000000"/>
          <w:highlight w:val="none"/>
          <w:u w:val="single"/>
        </w:rPr>
        <w:t xml:space="preserve">                                     </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9.3 交付地点：</w:t>
      </w:r>
      <w:r>
        <w:rPr>
          <w:rFonts w:hint="eastAsia" w:hAnsi="宋体"/>
          <w:color w:val="000000"/>
          <w:highlight w:val="none"/>
          <w:u w:val="single"/>
        </w:rPr>
        <w:t xml:space="preserve">                                     </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十、货款支付</w:t>
      </w:r>
      <w:r>
        <w:rPr>
          <w:rFonts w:hint="eastAsia" w:hAnsi="宋体"/>
          <w:b/>
          <w:bCs/>
          <w:color w:val="000000"/>
          <w:highlight w:val="none"/>
        </w:rPr>
      </w:r>
      <w:r/>
    </w:p>
    <w:p>
      <w:pPr>
        <w:pStyle w:val="10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rPr>
          <w:rFonts w:hint="eastAsia" w:ascii="宋体" w:hAnsi="宋体"/>
          <w:color w:val="000000"/>
          <w:szCs w:val="21"/>
          <w:highlight w:val="none"/>
        </w:rPr>
      </w:r>
      <w:r/>
    </w:p>
    <w:p>
      <w:pPr>
        <w:pStyle w:val="10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rPr>
          <w:rFonts w:hint="eastAsia" w:ascii="宋体" w:hAnsi="宋体"/>
          <w:color w:val="000000"/>
          <w:szCs w:val="21"/>
          <w:highlight w:val="none"/>
        </w:rPr>
      </w:r>
      <w:r/>
    </w:p>
    <w:p>
      <w:pPr>
        <w:pStyle w:val="1008"/>
        <w:ind w:firstLine="420"/>
        <w:spacing w:line="360" w:lineRule="auto"/>
        <w:rPr>
          <w:rFonts w:hint="eastAsia"/>
          <w:color w:val="000000"/>
          <w:highlight w:val="none"/>
        </w:rPr>
      </w:pPr>
      <w:r>
        <w:rPr>
          <w:rFonts w:hint="eastAsia" w:ascii="宋体" w:hAnsi="宋体" w:eastAsia="宋体" w:cs="Times New Roman"/>
          <w:color w:val="000000"/>
          <w:szCs w:val="21"/>
          <w:highlight w:val="none"/>
        </w:rPr>
        <w:t xml:space="preserve">10.3 </w:t>
      </w:r>
      <w:r>
        <w:rPr>
          <w:rFonts w:hint="eastAsia"/>
          <w:color w:val="000000"/>
          <w:highlight w:val="none"/>
        </w:rPr>
        <w:t xml:space="preserve">甲方付款方式：</w:t>
      </w:r>
      <w:r>
        <w:rPr>
          <w:rFonts w:hint="eastAsia"/>
          <w:color w:val="000000"/>
          <w:highlight w:val="none"/>
        </w:rPr>
      </w:r>
      <w:r/>
    </w:p>
    <w:p>
      <w:pPr>
        <w:pStyle w:val="10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合同签订后，乙方向甲方开具发票，甲方自收到发票后1</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日内，支付合同总价</w:t>
      </w:r>
      <w:r>
        <w:rPr>
          <w:rFonts w:hint="eastAsia" w:ascii="宋体" w:hAnsi="宋体"/>
          <w:color w:val="000000"/>
          <w:szCs w:val="21"/>
          <w:highlight w:val="none"/>
          <w:lang w:val="en-US" w:eastAsia="zh-CN"/>
        </w:rPr>
        <w:t xml:space="preserve">30</w:t>
      </w:r>
      <w:r>
        <w:rPr>
          <w:rFonts w:hint="eastAsia" w:ascii="宋体" w:hAnsi="宋体"/>
          <w:color w:val="000000"/>
          <w:szCs w:val="21"/>
          <w:highlight w:val="none"/>
        </w:rPr>
        <w:t xml:space="preserve">%的预付款；乙方完成服务内容，提交成果通过专家评审后，乙方向甲方开具发票，甲方自收到发票后</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日内支付合同总价的</w:t>
      </w:r>
      <w:r>
        <w:rPr>
          <w:rFonts w:hint="eastAsia" w:ascii="宋体" w:hAnsi="宋体"/>
          <w:color w:val="000000"/>
          <w:szCs w:val="21"/>
          <w:highlight w:val="none"/>
          <w:lang w:val="en-US" w:eastAsia="zh-CN"/>
        </w:rPr>
        <w:t xml:space="preserve">30</w:t>
      </w:r>
      <w:r>
        <w:rPr>
          <w:rFonts w:hint="eastAsia" w:ascii="宋体" w:hAnsi="宋体"/>
          <w:color w:val="000000"/>
          <w:szCs w:val="21"/>
          <w:highlight w:val="none"/>
        </w:rPr>
        <w:t xml:space="preserve">%；提交成果通过仪征市人民</w:t>
      </w:r>
      <w:r>
        <w:rPr>
          <w:rFonts w:hint="eastAsia" w:ascii="宋体" w:hAnsi="宋体"/>
          <w:color w:val="000000"/>
          <w:szCs w:val="21"/>
          <w:highlight w:val="none"/>
          <w:lang w:val="en-US" w:eastAsia="zh-CN"/>
        </w:rPr>
        <w:t xml:space="preserve">政府</w:t>
      </w:r>
      <w:r>
        <w:rPr>
          <w:rFonts w:hint="eastAsia" w:ascii="宋体" w:hAnsi="宋体"/>
          <w:color w:val="000000"/>
          <w:szCs w:val="21"/>
          <w:highlight w:val="none"/>
        </w:rPr>
        <w:t xml:space="preserve">审议通过后，乙方向甲方开具发票，甲方自收到发票后</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日内付清余款，不计利息。</w:t>
      </w:r>
      <w:r>
        <w:rPr>
          <w:rFonts w:hint="eastAsia" w:ascii="宋体" w:hAnsi="宋体"/>
          <w:color w:val="000000"/>
          <w:szCs w:val="21"/>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十一、税费</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11.1本合同执行中相关的一切税费均由乙方负担。</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十二、质量保证及售后服务</w:t>
      </w:r>
      <w:r>
        <w:rPr>
          <w:rFonts w:hint="eastAsia" w:hAnsi="宋体"/>
          <w:b/>
          <w:bCs/>
          <w:color w:val="000000"/>
          <w:highlight w:val="none"/>
        </w:rPr>
      </w:r>
      <w:r/>
    </w:p>
    <w:p>
      <w:pPr>
        <w:pStyle w:val="1033"/>
        <w:ind w:firstLine="400"/>
        <w:spacing w:before="120" w:after="120" w:line="360" w:lineRule="auto"/>
        <w:rPr>
          <w:rFonts w:hAnsi="宋体"/>
          <w:highlight w:val="none"/>
        </w:rPr>
      </w:pPr>
      <w:r>
        <w:rPr>
          <w:rFonts w:hint="eastAsia" w:hAnsi="宋体"/>
          <w:highlight w:val="none"/>
        </w:rPr>
        <w:t xml:space="preserve">12.1 乙方应按招标文件规定的货物及服务性能、技术要求、质量标准向甲方提供。</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12.2 乙方提供的货物及服务在质量期内因服务及产品本身的质量问题发生故障，乙方应负责免费更换。对达不到技术要求者，根据实际情况，经双方协商，可按以下办法处理：</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⑴更换：由乙方承担所发生的全部费用。</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⑵贬值处理：由甲乙双方合议定价。</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⑶退还处理：乙方应退还甲方支付的合同款，同时应承担该货物及服务的直接费用（运输、保险、检验、款项利息及银行手续费等）。</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12.3 如在使用过程中发生质量问题，乙方在接到甲方通知后在______小时内到达甲方现场。</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12.4 在质保期内，乙方应对货物及服务出现的质量及安全问题负责处理解决并承担一切费用。</w:t>
      </w:r>
      <w:r>
        <w:rPr>
          <w:rFonts w:hAnsi="宋体"/>
          <w:highlight w:val="none"/>
        </w:rPr>
      </w:r>
      <w:r/>
    </w:p>
    <w:p>
      <w:pPr>
        <w:pStyle w:val="1033"/>
        <w:ind w:firstLine="400"/>
        <w:spacing w:before="120" w:after="120" w:line="360" w:lineRule="auto"/>
        <w:rPr>
          <w:rFonts w:hint="eastAsia" w:hAnsi="宋体"/>
          <w:color w:val="000000"/>
          <w:highlight w:val="none"/>
        </w:rPr>
      </w:pPr>
      <w:r>
        <w:rPr>
          <w:rFonts w:hint="eastAsia" w:hAnsi="宋体"/>
          <w:highlight w:val="none"/>
        </w:rPr>
        <w:t xml:space="preserve">12.5上述的货物及服务免费保修期为 </w:t>
      </w:r>
      <w:r>
        <w:rPr>
          <w:rFonts w:hint="eastAsia" w:hAnsi="宋体"/>
          <w:highlight w:val="none"/>
          <w:u w:val="single"/>
        </w:rPr>
        <w:t xml:space="preserve">      </w:t>
      </w:r>
      <w:r>
        <w:rPr>
          <w:rFonts w:hint="eastAsia" w:hAnsi="宋体"/>
          <w:highlight w:val="none"/>
        </w:rPr>
        <w:t xml:space="preserve">年，因人为因素出现的故障不在免费保修范围内。超过保修期的机器设备，终生维修，维修时只收部件成本费。</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十三、调试和验收</w:t>
      </w:r>
      <w:r>
        <w:rPr>
          <w:rFonts w:hint="eastAsia" w:hAnsi="宋体"/>
          <w:b/>
          <w:bCs/>
          <w:color w:val="000000"/>
          <w:highlight w:val="none"/>
        </w:rPr>
      </w:r>
      <w:r/>
    </w:p>
    <w:p>
      <w:pPr>
        <w:pStyle w:val="1033"/>
        <w:ind w:firstLine="400"/>
        <w:spacing w:before="120" w:after="120" w:line="360" w:lineRule="auto"/>
        <w:rPr>
          <w:rFonts w:hAnsi="宋体"/>
          <w:highlight w:val="none"/>
        </w:rPr>
      </w:pPr>
      <w:r>
        <w:rPr>
          <w:rFonts w:hint="eastAsia" w:hAnsi="宋体"/>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13.2 乙方交付前应对货物及服务作出全面检查和对验收文件进行整理，并列出清单，作为甲方交付验收和使用的技术条件依据，检验的结果应随货物及服务交甲方。</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13.3 甲方对乙方提供的货物及服务在使用前进行调试时，乙方需负责安装并培训甲方的使用操作人员，并协助甲方一起调试，直到符合技术要求，甲方才做最终验收。</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13.4 对技术复杂的货物及服务，甲方可请国家认可的专业检测机构参与初步验收及最终验收，并由其出具质量检测报告。</w:t>
      </w:r>
      <w:r>
        <w:rPr>
          <w:rFonts w:hAnsi="宋体"/>
          <w:highlight w:val="none"/>
        </w:rPr>
      </w:r>
      <w:r/>
    </w:p>
    <w:p>
      <w:pPr>
        <w:pStyle w:val="1033"/>
        <w:ind w:firstLine="400"/>
        <w:spacing w:before="120" w:after="120" w:line="360" w:lineRule="auto"/>
        <w:rPr>
          <w:rFonts w:hint="eastAsia" w:hAnsi="宋体"/>
          <w:color w:val="000000"/>
          <w:highlight w:val="none"/>
        </w:rPr>
      </w:pPr>
      <w:r>
        <w:rPr>
          <w:rFonts w:hint="eastAsia" w:hAnsi="宋体"/>
          <w:highlight w:val="none"/>
        </w:rPr>
        <w:t xml:space="preserve">13.5 验收时乙方必须在现场，验收完毕后作出验收结果报告；验收费用由甲乙双方协商解决。</w:t>
      </w:r>
      <w:r>
        <w:rPr>
          <w:rFonts w:hint="eastAsia" w:hAnsi="宋体"/>
          <w:color w:val="000000"/>
          <w:highlight w:val="none"/>
        </w:rPr>
      </w:r>
      <w:r/>
    </w:p>
    <w:p>
      <w:pPr>
        <w:pStyle w:val="1033"/>
        <w:ind w:firstLine="402"/>
        <w:spacing w:before="120" w:after="120" w:line="360" w:lineRule="auto"/>
        <w:rPr>
          <w:rFonts w:hAnsi="宋体"/>
          <w:b/>
          <w:bCs/>
          <w:highlight w:val="none"/>
        </w:rPr>
      </w:pPr>
      <w:r>
        <w:rPr>
          <w:rFonts w:hint="eastAsia" w:hAnsi="宋体"/>
          <w:b/>
          <w:bCs/>
          <w:highlight w:val="none"/>
        </w:rPr>
        <w:t xml:space="preserve">十四、货物及服务包装、发运及运输</w:t>
      </w:r>
      <w:r>
        <w:rPr>
          <w:rFonts w:hAnsi="宋体"/>
          <w:b/>
          <w:bCs/>
          <w:highlight w:val="none"/>
        </w:rPr>
      </w:r>
      <w:r/>
    </w:p>
    <w:p>
      <w:pPr>
        <w:pStyle w:val="1033"/>
        <w:ind w:firstLine="400"/>
        <w:spacing w:before="120" w:after="120" w:line="360" w:lineRule="auto"/>
        <w:rPr>
          <w:rFonts w:hAnsi="宋体"/>
          <w:highlight w:val="none"/>
        </w:rPr>
      </w:pPr>
      <w:r>
        <w:rPr>
          <w:rFonts w:hint="eastAsia" w:hAnsi="宋体"/>
          <w:highlight w:val="none"/>
        </w:rPr>
        <w:t xml:space="preserve">14.1 乙方应在货物及服务发运前对其进行满足运输距离、防潮、防震、防锈和防破损装卸等要求包装，以保证货物及服务安全运达甲方指定地点。</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14.2 使用说明书、质量检验证明书、随配附件和工具以及清单一并交付甲方。</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14.3 乙方在货物及服务发运手续办理完毕后24小时内或交付到甲方48小时前通知甲方，以准备接受交付。</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14.4 货物在交付甲方前发生的风险均由乙方负责。</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14.5 货物及服务在规定的交付期限内由乙方送达甲方指定的地点视为交付，乙方同时需通知甲方货物及服务已送达。</w:t>
      </w:r>
      <w:r>
        <w:rPr>
          <w:rFonts w:hAnsi="宋体"/>
          <w:highlight w:val="none"/>
        </w:rPr>
      </w:r>
      <w:r/>
    </w:p>
    <w:p>
      <w:pPr>
        <w:pStyle w:val="1033"/>
        <w:ind w:firstLine="402"/>
        <w:spacing w:before="120" w:after="120" w:line="360" w:lineRule="auto"/>
        <w:rPr>
          <w:rFonts w:hAnsi="宋体"/>
          <w:b/>
          <w:bCs/>
          <w:highlight w:val="none"/>
        </w:rPr>
      </w:pPr>
      <w:r>
        <w:rPr>
          <w:rFonts w:hint="eastAsia" w:hAnsi="宋体"/>
          <w:b/>
          <w:bCs/>
          <w:highlight w:val="none"/>
        </w:rPr>
        <w:t xml:space="preserve">十五、违约责任</w:t>
      </w:r>
      <w:r>
        <w:rPr>
          <w:rFonts w:hAnsi="宋体"/>
          <w:b/>
          <w:bCs/>
          <w:highlight w:val="none"/>
        </w:rPr>
      </w:r>
      <w:r/>
    </w:p>
    <w:p>
      <w:pPr>
        <w:pStyle w:val="1033"/>
        <w:ind w:firstLine="400"/>
        <w:spacing w:before="120" w:after="120" w:line="360" w:lineRule="auto"/>
        <w:rPr>
          <w:rFonts w:hAnsi="宋体"/>
          <w:highlight w:val="none"/>
        </w:rPr>
      </w:pPr>
      <w:r>
        <w:rPr>
          <w:rFonts w:hint="eastAsia" w:hAnsi="宋体"/>
          <w:highlight w:val="none"/>
        </w:rPr>
        <w:t xml:space="preserve">15.1 甲方无正当理由拒收货物及服务的，甲方向乙方偿付拒收款项总值的百分之五违约金。</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15.2 甲方无故逾期验收和办理款项支付手续的,甲方应按逾期付款总额每日万分之五向乙方支付违约金。</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highlight w:val="none"/>
        </w:rPr>
      </w:r>
      <w:r/>
    </w:p>
    <w:p>
      <w:pPr>
        <w:pStyle w:val="1033"/>
        <w:ind w:firstLine="400"/>
        <w:spacing w:before="120" w:after="120" w:line="360" w:lineRule="auto"/>
        <w:rPr>
          <w:rFonts w:hint="eastAsia" w:hAnsi="宋体"/>
          <w:color w:val="000000"/>
          <w:highlight w:val="none"/>
        </w:rPr>
      </w:pPr>
      <w:r>
        <w:rPr>
          <w:rFonts w:hint="eastAsia" w:hAnsi="宋体"/>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int="eastAsia" w:hAnsi="宋体"/>
          <w:color w:val="000000"/>
          <w:highlight w:val="none"/>
        </w:rPr>
      </w:r>
      <w:r/>
    </w:p>
    <w:p>
      <w:pPr>
        <w:pStyle w:val="1033"/>
        <w:ind w:firstLine="402"/>
        <w:spacing w:before="120" w:after="120" w:line="360" w:lineRule="auto"/>
        <w:rPr>
          <w:rFonts w:hAnsi="宋体"/>
          <w:b/>
          <w:bCs/>
          <w:highlight w:val="none"/>
        </w:rPr>
      </w:pPr>
      <w:r>
        <w:rPr>
          <w:rFonts w:hint="eastAsia" w:hAnsi="宋体"/>
          <w:b/>
          <w:bCs/>
          <w:highlight w:val="none"/>
        </w:rPr>
        <w:t xml:space="preserve">十六、不可抗力事件处理</w:t>
      </w:r>
      <w:r>
        <w:rPr>
          <w:rFonts w:hAnsi="宋体"/>
          <w:b/>
          <w:bCs/>
          <w:highlight w:val="none"/>
        </w:rPr>
      </w:r>
      <w:r/>
    </w:p>
    <w:p>
      <w:pPr>
        <w:pStyle w:val="1033"/>
        <w:ind w:firstLine="400"/>
        <w:spacing w:before="120" w:after="120" w:line="360" w:lineRule="auto"/>
        <w:rPr>
          <w:rFonts w:hAnsi="宋体"/>
          <w:highlight w:val="none"/>
        </w:rPr>
      </w:pPr>
      <w:r>
        <w:rPr>
          <w:rFonts w:hint="eastAsia" w:hAnsi="宋体"/>
          <w:highlight w:val="none"/>
        </w:rPr>
        <w:t xml:space="preserve">16.1 在合同有效期内，任何一方因不可抗力事件导致不能履行合同，则合同履行期可延长，其延长期与不可抗力影响期相同。</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16.2 不可抗力事件发生后，应立即通知对方，并寄送有关权威机构出具的证明。</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16.3 不可抗力事件延续120天以上，双方应通过友好协商，确定是否继续履行合同。</w:t>
      </w:r>
      <w:r>
        <w:rPr>
          <w:rFonts w:hAnsi="宋体"/>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十七、诉讼</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17.1 双方在执行合同中所发生的一切争议，应通过协商解决。如协商不成，可向合同签订地法院起诉，合同签订地在此约定为仪征市。</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八</w:t>
      </w:r>
      <w:r>
        <w:rPr>
          <w:rFonts w:hint="eastAsia" w:hAnsi="宋体"/>
          <w:b/>
          <w:bCs/>
          <w:color w:val="000000"/>
          <w:highlight w:val="none"/>
        </w:rPr>
        <w:t xml:space="preserve">、合同生效及其它</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19.1 </w:t>
      </w:r>
      <w:r>
        <w:rPr>
          <w:rFonts w:hint="eastAsia" w:hAnsi="宋体"/>
          <w:highlight w:val="none"/>
        </w:rPr>
        <w:t xml:space="preserve">合同经双方法定代表人签章并加盖单位公章</w:t>
      </w:r>
      <w:r>
        <w:rPr>
          <w:rFonts w:hint="eastAsia" w:hAnsi="宋体"/>
          <w:color w:val="000000"/>
          <w:highlight w:val="none"/>
        </w:rPr>
        <w:t xml:space="preserve">，并经</w:t>
      </w:r>
      <w:r>
        <w:rPr>
          <w:rFonts w:hint="eastAsia" w:hAnsi="宋体"/>
          <w:color w:val="000000"/>
          <w:highlight w:val="none"/>
          <w:lang w:eastAsia="zh-CN"/>
        </w:rPr>
        <w:t xml:space="preserve">江苏星宇仪邮项目管理有限公司</w:t>
      </w:r>
      <w:r>
        <w:rPr>
          <w:rFonts w:hint="eastAsia" w:hAnsi="宋体"/>
          <w:color w:val="000000"/>
          <w:highlight w:val="none"/>
        </w:rPr>
        <w:t xml:space="preserve">见证盖章后生效。</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19.2本合同未尽事宜，遵照</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19.3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hAnsi="宋体"/>
                <w:bCs/>
                <w:color w:val="000000"/>
                <w:szCs w:val="21"/>
                <w:highlight w:val="none"/>
                <w:lang w:eastAsia="zh-CN"/>
              </w:rPr>
              <w:t xml:space="preserve">仪征市发展和改革委员会</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8"/>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1033"/>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33"/>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江苏星宇仪邮项目管理有限公司</w:t>
      </w:r>
      <w:r>
        <w:rPr>
          <w:rFonts w:hint="eastAsia" w:hAnsi="宋体" w:eastAsia="宋体"/>
          <w:color w:val="000000"/>
          <w:highlight w:val="none"/>
          <w:lang w:eastAsia="zh-CN"/>
        </w:rPr>
      </w:r>
      <w:r/>
    </w:p>
    <w:p>
      <w:pPr>
        <w:pStyle w:val="1033"/>
        <w:ind w:firstLine="200"/>
        <w:spacing w:before="120" w:after="120" w:line="360" w:lineRule="auto"/>
        <w:rPr>
          <w:rFonts w:hint="eastAsia" w:hAnsi="宋体"/>
          <w:color w:val="000000"/>
          <w:highlight w:val="none"/>
        </w:rPr>
      </w:pPr>
      <w:r>
        <w:rPr>
          <w:rFonts w:hint="eastAsia" w:hAnsi="宋体"/>
          <w:color w:val="000000"/>
          <w:highlight w:val="none"/>
        </w:rPr>
        <w:t xml:space="preserve">项目见证人：</w:t>
      </w:r>
      <w:r>
        <w:rPr>
          <w:rFonts w:hint="eastAsia" w:hAnsi="宋体"/>
          <w:color w:val="000000"/>
          <w:highlight w:val="none"/>
        </w:rPr>
      </w:r>
      <w:r/>
    </w:p>
    <w:p>
      <w:pPr>
        <w:pStyle w:val="1033"/>
        <w:ind w:firstLine="200"/>
        <w:spacing w:before="120" w:after="120" w:line="360" w:lineRule="auto"/>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08"/>
        <w:ind w:firstLine="420"/>
        <w:spacing w:line="360" w:lineRule="auto"/>
        <w:rPr>
          <w:rFonts w:ascii="宋体" w:hAnsi="宋体"/>
          <w:color w:val="000000"/>
          <w:szCs w:val="21"/>
        </w:rPr>
      </w:pPr>
      <w:r>
        <w:rPr>
          <w:rFonts w:ascii="宋体" w:hAnsi="宋体"/>
          <w:color w:val="000000"/>
          <w:szCs w:val="21"/>
        </w:r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60"/>
      </w:pPr>
      <w:r/>
      <w:r/>
    </w:p>
    <w:p>
      <w:pPr>
        <w:pStyle w:val="1059"/>
      </w:pPr>
      <w:r/>
      <w:r/>
    </w:p>
    <w:p>
      <w:pPr>
        <w:pStyle w:val="1009"/>
        <w:jc w:val="center"/>
        <w:spacing w:after="0"/>
        <w:rPr>
          <w:color w:val="000000"/>
          <w:sz w:val="36"/>
        </w:rPr>
      </w:pPr>
      <w:r/>
      <w:bookmarkStart w:id="53" w:name="_Toc533151619"/>
      <w:r/>
      <w:bookmarkStart w:id="54" w:name="_Toc18229"/>
      <w:r/>
      <w:bookmarkStart w:id="55" w:name="_Toc5095384"/>
      <w:r>
        <w:rPr>
          <w:rFonts w:hint="eastAsia" w:ascii="Times New Roman" w:hAnsi="Times New Roman" w:eastAsia="宋体" w:cs="Times New Roman"/>
          <w:b/>
          <w:bCs/>
          <w:color w:val="000000"/>
          <w:sz w:val="36"/>
          <w:szCs w:val="44"/>
          <w:lang w:val="en-US" w:eastAsia="zh-CN" w:bidi="ar-SA"/>
        </w:rPr>
        <w:t xml:space="preserve">第四章</w:t>
      </w:r>
      <w:r>
        <w:rPr>
          <w:color w:val="000000"/>
          <w:sz w:val="36"/>
        </w:rPr>
        <w:t xml:space="preserve">项目需求</w:t>
      </w:r>
      <w:bookmarkEnd w:id="53"/>
      <w:r/>
      <w:bookmarkEnd w:id="54"/>
      <w:r>
        <w:rPr>
          <w:color w:val="000000"/>
          <w:sz w:val="36"/>
        </w:rPr>
      </w:r>
      <w:r/>
    </w:p>
    <w:p>
      <w:pPr>
        <w:pStyle w:val="1010"/>
        <w:ind w:left="0" w:firstLine="0"/>
        <w:rPr>
          <w:rFonts w:hint="eastAsia" w:ascii="宋体" w:hAnsi="宋体" w:eastAsia="宋体" w:cs="宋体"/>
          <w:sz w:val="21"/>
          <w:szCs w:val="21"/>
        </w:rPr>
      </w:pPr>
      <w:r/>
      <w:bookmarkEnd w:id="55"/>
      <w:r>
        <w:rPr>
          <w:rFonts w:hint="eastAsia" w:ascii="宋体" w:hAnsi="宋体" w:eastAsia="宋体" w:cs="宋体"/>
          <w:sz w:val="21"/>
          <w:szCs w:val="21"/>
        </w:rPr>
        <w:t xml:space="preserve">一、采购标的</w:t>
      </w:r>
      <w:r>
        <w:rPr>
          <w:rFonts w:hint="eastAsia" w:ascii="宋体" w:hAnsi="宋体" w:eastAsia="宋体" w:cs="宋体"/>
          <w:sz w:val="21"/>
          <w:szCs w:val="21"/>
        </w:rPr>
      </w:r>
      <w:r/>
    </w:p>
    <w:p>
      <w:pPr>
        <w:pStyle w:val="1008"/>
        <w:ind w:firstLine="422"/>
        <w:spacing w:line="400" w:lineRule="exac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1.仪征市“十五五”能源发展规划</w:t>
      </w:r>
      <w:r>
        <w:rPr>
          <w:rFonts w:hint="eastAsia" w:ascii="宋体" w:hAnsi="宋体" w:eastAsia="宋体" w:cs="Times New Roman"/>
          <w:b/>
          <w:bCs/>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当前和今后一个时期，是仪征市全面贯彻落实党的二十大精神，是开启社会主义现代化建设新征程的关键阶段。根据仪征市发展实际和资源禀赋，紧密结合碳达峰、碳中和、“四个革命、一个合作”等重大战略决策，把握新一轮科技革命和产业变革的历史性机遇，开展《仪征市“十五五”能源发展规划》编制工作。主要内容包括：</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（1）全面梳理“十四五”期间仪征市能源发展现状</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（2）分析提出仪征市能源发展的总体思路、基本原则、目标定位。</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（3）因地制宜提出仪征市能源发展的具体方向、重点领域。</w:t>
      </w:r>
      <w:r>
        <w:rPr>
          <w:rFonts w:hint="eastAsia" w:ascii="宋体" w:hAnsi="宋体" w:eastAsia="宋体" w:cs="Times New Roman"/>
          <w:color w:val="000000"/>
          <w:szCs w:val="21"/>
          <w:highlight w:val="none"/>
          <w:lang w:val="en-US" w:eastAsia="zh-CN"/>
        </w:rPr>
      </w:r>
      <w:r/>
    </w:p>
    <w:p>
      <w:pPr>
        <w:pStyle w:val="1008"/>
        <w:ind w:firstLine="422"/>
        <w:spacing w:line="400" w:lineRule="exac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2.仪征市“十五五”战略性新兴产业发展规划</w:t>
      </w:r>
      <w:r>
        <w:rPr>
          <w:rFonts w:hint="eastAsia" w:ascii="宋体" w:hAnsi="宋体" w:eastAsia="宋体" w:cs="Times New Roman"/>
          <w:b/>
          <w:bCs/>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战略性新兴产业代表新一轮科技革命和产业变革的方向，是发展新质生产力的重要推动力和重要载体，是加快打造具有国际竞争力的战略性新兴产业集群的重大任务。根据仪征市产业发展实际，科学制定“十五五”战略性新兴产业发展规划至关重要，为全市因地制宜发展新质生产力，增强未来发展新动能，开展《仪征市“十五五”战略性新兴产业发展规划》编制工作。主要内容包括：</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（1）全面梳理“十四五”期间仪征市战略性新兴产业发展现状</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（2）分析提出仪征市战略性新兴产业发展的总体思路、基本原则、目标定位。</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（3）因地制宜提出仪征市发展战略性新兴产业具体方向、重点领域。</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（4）研究提出仪征市未来产业发展思路、主要方向、具体举措。</w:t>
      </w:r>
      <w:r>
        <w:rPr>
          <w:rFonts w:hint="eastAsia" w:ascii="宋体" w:hAnsi="宋体" w:eastAsia="宋体" w:cs="Times New Roman"/>
          <w:color w:val="000000"/>
          <w:szCs w:val="21"/>
          <w:highlight w:val="none"/>
          <w:lang w:val="en-US" w:eastAsia="zh-CN"/>
        </w:rPr>
      </w:r>
      <w:r/>
    </w:p>
    <w:p>
      <w:pPr>
        <w:pStyle w:val="1008"/>
        <w:ind w:firstLine="422"/>
        <w:spacing w:line="400" w:lineRule="exact"/>
        <w:rPr>
          <w:rFonts w:hint="eastAsia"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3.仪征市“十五五”加快推进基本公共服务均等化规划</w:t>
      </w:r>
      <w:r>
        <w:rPr>
          <w:rFonts w:hint="eastAsia" w:ascii="宋体" w:hAnsi="宋体" w:eastAsia="宋体" w:cs="Times New Roman"/>
          <w:b/>
          <w:bCs/>
          <w:color w:val="000000"/>
          <w:szCs w:val="21"/>
          <w:lang w:val="en-US" w:eastAsia="zh-CN"/>
        </w:rPr>
      </w:r>
      <w:r/>
    </w:p>
    <w:p>
      <w:pPr>
        <w:pStyle w:val="1008"/>
        <w:ind w:firstLine="420"/>
        <w:spacing w:line="400" w:lineRule="exac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eastAsia="zh-CN"/>
        </w:rPr>
        <w:t xml:space="preserve">基本公共服务是由政府主导、保障全体公民生存和发展基本需要、与经济社会发展水平相适应的公共服务。保障人人享有基本公共服务是政府的重要职责。面对“十五五”进一步织密扎牢社会保障网、回应解决群众“急难愁盼”问题的迫切要求，要系统谋划、科学统筹，明确政府保障基本民生的“责任清单”、人民群众享受基本公共服务的“权利清单”，紧密衔接省、市标准、要求，持续提高基本公共服务供给质量，编制形成仪征市“十五五”加快推进基本公共服务均等化规划。</w:t>
      </w:r>
      <w:r>
        <w:rPr>
          <w:rFonts w:hint="eastAsia" w:ascii="宋体" w:hAnsi="宋体" w:eastAsia="宋体" w:cs="Times New Roman"/>
          <w:color w:val="000000"/>
          <w:szCs w:val="21"/>
          <w:lang w:val="en-US" w:eastAsia="zh-CN"/>
        </w:rPr>
        <w:t xml:space="preserve">主要内容包括：</w:t>
      </w:r>
      <w:r>
        <w:rPr>
          <w:rFonts w:hint="eastAsia" w:ascii="宋体" w:hAnsi="宋体" w:eastAsia="宋体" w:cs="Times New Roman"/>
          <w:color w:val="000000"/>
          <w:szCs w:val="21"/>
          <w:lang w:val="en-US" w:eastAsia="zh-CN"/>
        </w:rPr>
      </w:r>
      <w:r/>
    </w:p>
    <w:p>
      <w:pPr>
        <w:pStyle w:val="1008"/>
        <w:ind w:firstLine="420"/>
        <w:spacing w:line="400" w:lineRule="exact"/>
        <w:rPr>
          <w:rFonts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eastAsia="zh-CN"/>
        </w:rPr>
        <w:t xml:space="preserve">系统梳理仪征“十四五”基本公共服务现状情况。</w:t>
      </w:r>
      <w:r>
        <w:rPr>
          <w:rFonts w:ascii="宋体" w:hAnsi="宋体" w:eastAsia="宋体" w:cs="Times New Roman"/>
          <w:color w:val="000000"/>
          <w:szCs w:val="21"/>
          <w:lang w:eastAsia="zh-CN"/>
        </w:rPr>
      </w:r>
      <w:r/>
    </w:p>
    <w:p>
      <w:pPr>
        <w:pStyle w:val="10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eastAsia="zh-CN"/>
        </w:rPr>
        <w:t xml:space="preserve">结合省市要求，确立“十五五”全市基本公共服务的总体目标、标准体系</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10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Cs w:val="21"/>
          <w:lang w:eastAsia="zh-CN"/>
        </w:rPr>
        <w:t xml:space="preserve">研究谋划“十五五”优化完善基本公共服务的重点领域、任务举措</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1008"/>
        <w:ind w:firstLine="422"/>
        <w:spacing w:line="400" w:lineRule="exact"/>
        <w:rPr>
          <w:rFonts w:hint="eastAsia"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4.仪征市“十五五”现代服务业发展规划</w:t>
      </w:r>
      <w:r>
        <w:rPr>
          <w:rFonts w:hint="eastAsia" w:ascii="宋体" w:hAnsi="宋体" w:eastAsia="宋体" w:cs="Times New Roman"/>
          <w:b/>
          <w:bCs/>
          <w:color w:val="000000"/>
          <w:szCs w:val="21"/>
          <w:lang w:val="en-US" w:eastAsia="zh-CN"/>
        </w:rPr>
      </w:r>
      <w:r/>
    </w:p>
    <w:p>
      <w:pPr>
        <w:pStyle w:val="1008"/>
        <w:ind w:firstLine="420"/>
        <w:spacing w:line="400" w:lineRule="exac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eastAsia="zh-CN"/>
        </w:rPr>
        <w:t xml:space="preserve">为主动适应新发展阶段、贯彻新发展理念、融入新发展格局，全面落实国家、江苏省及扬州市关于推动现代服务业高质量发展的战略部署，科学谋划仪征市“十五五”时期现代服务业发展的思路、目标、任务举措，开展编制《仪征市“十五五”现代服务业发展规划》。</w:t>
      </w:r>
      <w:r>
        <w:rPr>
          <w:rFonts w:hint="eastAsia" w:ascii="宋体" w:hAnsi="宋体" w:eastAsia="宋体" w:cs="Times New Roman"/>
          <w:color w:val="000000"/>
          <w:szCs w:val="21"/>
          <w:lang w:val="en-US" w:eastAsia="zh-CN"/>
        </w:rPr>
        <w:t xml:space="preserve">主要内容包括：</w:t>
      </w:r>
      <w:r>
        <w:rPr>
          <w:rFonts w:hint="eastAsia" w:ascii="宋体" w:hAnsi="宋体" w:eastAsia="宋体" w:cs="Times New Roman"/>
          <w:color w:val="000000"/>
          <w:szCs w:val="21"/>
          <w:lang w:val="en-US" w:eastAsia="zh-CN"/>
        </w:rPr>
      </w:r>
      <w:r/>
    </w:p>
    <w:p>
      <w:pPr>
        <w:pStyle w:val="1008"/>
        <w:ind w:firstLine="420"/>
        <w:spacing w:line="400" w:lineRule="exact"/>
        <w:rPr>
          <w:rFonts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t xml:space="preserve">系统梳理仪征“十四五”</w:t>
      </w:r>
      <w:r>
        <w:rPr>
          <w:rFonts w:hint="eastAsia" w:ascii="宋体" w:hAnsi="宋体" w:eastAsia="宋体" w:cs="Times New Roman"/>
          <w:color w:val="000000"/>
          <w:szCs w:val="21"/>
          <w:highlight w:val="none"/>
          <w:lang w:val="en-US" w:eastAsia="zh-CN"/>
        </w:rPr>
        <w:t xml:space="preserve">现代服务业</w:t>
      </w:r>
      <w:r>
        <w:rPr>
          <w:rFonts w:hint="eastAsia" w:ascii="宋体" w:hAnsi="宋体" w:eastAsia="宋体" w:cs="Times New Roman"/>
          <w:color w:val="000000"/>
          <w:szCs w:val="21"/>
          <w:highlight w:val="none"/>
          <w:lang w:eastAsia="zh-CN"/>
        </w:rPr>
        <w:t xml:space="preserve">现状情况。</w:t>
      </w:r>
      <w:r>
        <w:rPr>
          <w:rFonts w:ascii="宋体" w:hAnsi="宋体" w:eastAsia="宋体" w:cs="Times New Roman"/>
          <w:color w:val="000000"/>
          <w:szCs w:val="21"/>
          <w:highlight w:val="none"/>
          <w:lang w:eastAsia="zh-CN"/>
        </w:rPr>
      </w:r>
      <w:r/>
    </w:p>
    <w:p>
      <w:pPr>
        <w:pStyle w:val="1008"/>
        <w:ind w:firstLine="420"/>
        <w:spacing w:line="400" w:lineRule="exact"/>
        <w:rPr>
          <w:rFonts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结合省市要求，确立“十五五”全市</w:t>
      </w:r>
      <w:r>
        <w:rPr>
          <w:rFonts w:hint="eastAsia" w:ascii="宋体" w:hAnsi="宋体" w:eastAsia="宋体" w:cs="Times New Roman"/>
          <w:color w:val="000000"/>
          <w:szCs w:val="21"/>
          <w:highlight w:val="none"/>
          <w:lang w:val="en-US" w:eastAsia="zh-CN"/>
        </w:rPr>
        <w:t xml:space="preserve">现代服务业</w:t>
      </w:r>
      <w:r>
        <w:rPr>
          <w:rFonts w:hint="eastAsia" w:ascii="宋体" w:hAnsi="宋体" w:eastAsia="宋体" w:cs="Times New Roman"/>
          <w:color w:val="000000"/>
          <w:szCs w:val="21"/>
          <w:highlight w:val="none"/>
          <w:lang w:eastAsia="zh-CN"/>
        </w:rPr>
        <w:t xml:space="preserve">的总体目标、标准体系。</w:t>
      </w:r>
      <w:r>
        <w:rPr>
          <w:rFonts w:ascii="宋体" w:hAnsi="宋体" w:eastAsia="宋体" w:cs="Times New Roman"/>
          <w:color w:val="000000"/>
          <w:szCs w:val="21"/>
          <w:highlight w:val="none"/>
          <w:lang w:eastAsia="zh-CN"/>
        </w:rPr>
      </w:r>
      <w:r/>
    </w:p>
    <w:p>
      <w:pPr>
        <w:pStyle w:val="1008"/>
        <w:ind w:firstLine="420"/>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t xml:space="preserve">研究谋划“十五五”优化完善现</w:t>
      </w:r>
      <w:r>
        <w:rPr>
          <w:rFonts w:hint="eastAsia" w:ascii="宋体" w:hAnsi="宋体" w:eastAsia="宋体" w:cs="Times New Roman"/>
          <w:color w:val="000000"/>
          <w:szCs w:val="21"/>
          <w:highlight w:val="none"/>
          <w:lang w:val="en-US" w:eastAsia="zh-CN"/>
        </w:rPr>
        <w:t xml:space="preserve">现代服务业</w:t>
      </w:r>
      <w:r>
        <w:rPr>
          <w:rFonts w:hint="eastAsia" w:ascii="宋体" w:hAnsi="宋体" w:eastAsia="宋体" w:cs="Times New Roman"/>
          <w:color w:val="000000"/>
          <w:szCs w:val="21"/>
          <w:highlight w:val="none"/>
          <w:lang w:eastAsia="zh-CN"/>
        </w:rPr>
        <w:t xml:space="preserve">的重点领域、任务举措</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008"/>
        <w:ind w:firstLine="422"/>
        <w:spacing w:line="400" w:lineRule="exac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5.仪征市人防工程专项规划</w:t>
      </w:r>
      <w:r>
        <w:rPr>
          <w:rFonts w:hint="eastAsia" w:ascii="宋体" w:hAnsi="宋体" w:eastAsia="宋体" w:cs="Times New Roman"/>
          <w:b/>
          <w:bCs/>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随着人民防空体制改革深入推进，对仪征市人民防空业务和工程建设提出了更高的要求，科学制定2026-2040年人民防空专项规划相关工作势在必行。2026-2040年期间，要坚持新时代中国特色社会主义思想为指导，全面贯彻落实党的二十大和二十届二中、三中、四中全会精神，围绕统筹推进“五位一体”总体布局，协调推进“四个全面”战略布局，加强现代边海空防建设，巩固提高一体化国家战略体系和能力。根据相关要求，拟开展仪征市人民防空专项规划编制工作。主要内容包括：</w:t>
      </w:r>
      <w:r>
        <w:rPr>
          <w:rFonts w:hint="eastAsia" w:ascii="宋体" w:hAnsi="宋体" w:eastAsia="宋体" w:cs="Times New Roman"/>
          <w:color w:val="000000"/>
          <w:szCs w:val="21"/>
          <w:highlight w:val="none"/>
          <w:lang w:val="zh-CN"/>
        </w:rPr>
      </w:r>
      <w:r/>
    </w:p>
    <w:p>
      <w:pPr>
        <w:pStyle w:val="1008"/>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（1）在国土空间规划框架下，系统开展仪征市人民防空工程现状评估与风险分析。</w:t>
      </w:r>
      <w:r>
        <w:rPr>
          <w:rFonts w:hint="eastAsia" w:ascii="宋体" w:hAnsi="宋体" w:eastAsia="宋体" w:cs="Times New Roman"/>
          <w:color w:val="000000"/>
          <w:szCs w:val="21"/>
          <w:highlight w:val="none"/>
          <w:lang w:val="zh-CN"/>
        </w:rPr>
      </w:r>
      <w:r/>
    </w:p>
    <w:p>
      <w:pPr>
        <w:pStyle w:val="1008"/>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2）以构建功能完善的城市人防综合防护体系为目标，确定人员防护与疏散体系，明确各类人防工程总量、布局与互联互通标准；制定重要经济目标分类防护对策；规划通信警报系统布局；要明确责任需求，体现平战结合等方面的应用。</w:t>
      </w:r>
      <w:r>
        <w:rPr>
          <w:rFonts w:hint="eastAsia" w:ascii="宋体" w:hAnsi="宋体" w:eastAsia="宋体" w:cs="Times New Roman"/>
          <w:color w:val="000000"/>
          <w:szCs w:val="21"/>
          <w:highlight w:val="none"/>
          <w:lang w:val="zh-CN"/>
        </w:rPr>
      </w:r>
      <w:r/>
    </w:p>
    <w:p>
      <w:pPr>
        <w:pStyle w:val="1008"/>
        <w:ind w:firstLine="420"/>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zh-CN"/>
        </w:rPr>
        <w:t xml:space="preserve">（3）因地制宜提出2026-2040年仪征市人民防空近远期建设项目库及实施保障措施，确保规划可落地，最终形成符合国家、省、市有关政策要求的规划文本、图集等法定成果，用于上报审批。</w:t>
      </w:r>
      <w:r>
        <w:rPr>
          <w:rFonts w:hint="eastAsia" w:ascii="宋体" w:hAnsi="宋体" w:eastAsia="宋体" w:cs="Times New Roman"/>
          <w:color w:val="000000"/>
          <w:szCs w:val="21"/>
          <w:highlight w:val="none"/>
        </w:rPr>
      </w:r>
      <w:r/>
    </w:p>
    <w:p>
      <w:pPr>
        <w:pStyle w:val="1096"/>
        <w:rPr>
          <w:rFonts w:hint="eastAsia"/>
          <w:highlight w:val="none"/>
        </w:rPr>
      </w:pPr>
      <w:r>
        <w:rPr>
          <w:rFonts w:ascii="仿宋_GB2312" w:hAnsi="仿宋_GB2312" w:eastAsia="仿宋_GB2312" w:cs="仿宋_GB2312"/>
          <w:highlight w:val="none"/>
        </w:rPr>
        <w:br w:type="page" w:clear="all"/>
      </w:r>
      <w:r>
        <w:rPr>
          <w:rFonts w:hint="eastAsia"/>
          <w:highlight w:val="none"/>
        </w:rPr>
      </w:r>
      <w:r/>
    </w:p>
    <w:p>
      <w:pPr>
        <w:pStyle w:val="1009"/>
        <w:jc w:val="center"/>
        <w:rPr>
          <w:rFonts w:hint="eastAsia"/>
          <w:color w:val="000000"/>
          <w:highlight w:val="none"/>
        </w:rPr>
      </w:pPr>
      <w:r>
        <w:rPr>
          <w:rFonts w:hint="eastAsia"/>
          <w:szCs w:val="30"/>
        </w:rPr>
        <w:t xml:space="preserve">第五章 评审方法及评审标准</w:t>
      </w:r>
      <w:r>
        <w:rPr>
          <w:rFonts w:hint="eastAsia"/>
          <w:color w:val="000000"/>
          <w:highlight w:val="none"/>
        </w:rPr>
      </w:r>
      <w:r/>
    </w:p>
    <w:p>
      <w:pPr>
        <w:pStyle w:val="1010"/>
        <w:rPr>
          <w:rFonts w:hint="eastAsia" w:ascii="宋体" w:hAnsi="宋体" w:eastAsia="宋体" w:cs="宋体"/>
          <w:sz w:val="21"/>
          <w:szCs w:val="21"/>
        </w:rPr>
      </w:pPr>
      <w:r>
        <w:rPr>
          <w:rFonts w:hint="eastAsia" w:ascii="宋体" w:hAnsi="宋体" w:eastAsia="宋体" w:cs="宋体"/>
          <w:sz w:val="21"/>
          <w:szCs w:val="21"/>
        </w:rPr>
        <w:t xml:space="preserve">一、评审方法</w:t>
      </w:r>
      <w:r>
        <w:rPr>
          <w:rFonts w:hint="eastAsia" w:ascii="宋体" w:hAnsi="宋体" w:eastAsia="宋体" w:cs="宋体"/>
          <w:sz w:val="21"/>
          <w:szCs w:val="21"/>
        </w:rPr>
      </w:r>
      <w:r/>
    </w:p>
    <w:p>
      <w:pPr>
        <w:pStyle w:val="1008"/>
        <w:ind w:firstLine="420"/>
        <w:spacing w:line="400" w:lineRule="exact"/>
        <w:rPr>
          <w:rFonts w:hint="eastAsia"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olor w:val="000000"/>
          <w:szCs w:val="21"/>
        </w:rPr>
      </w:r>
      <w:r/>
    </w:p>
    <w:p>
      <w:pPr>
        <w:pStyle w:val="1010"/>
        <w:rPr>
          <w:rFonts w:hint="eastAsia" w:ascii="宋体" w:hAnsi="宋体" w:eastAsia="宋体" w:cs="宋体"/>
          <w:sz w:val="21"/>
          <w:szCs w:val="21"/>
        </w:rPr>
      </w:pPr>
      <w:r>
        <w:rPr>
          <w:rFonts w:hint="eastAsia" w:ascii="宋体" w:hAnsi="宋体" w:eastAsia="宋体" w:cs="宋体"/>
          <w:sz w:val="21"/>
          <w:szCs w:val="21"/>
        </w:rPr>
        <w:t xml:space="preserve">二、政府采购政策功能落实</w:t>
      </w:r>
      <w:r>
        <w:rPr>
          <w:rFonts w:hint="eastAsia" w:ascii="宋体" w:hAnsi="宋体" w:eastAsia="宋体" w:cs="宋体"/>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〔2017〕141号）。</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疆生产建设兵团)出具的属于监狱企业的证明文件。供应商如不提供上述证明文件，价格将不做相应扣除。</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highlight w:val="none"/>
        </w:rPr>
      </w:pPr>
      <w:r>
        <w:rPr>
          <w:rFonts w:hint="eastAsia" w:ascii="宋体" w:hAnsi="宋体"/>
          <w:bCs/>
          <w:color w:val="000000"/>
          <w:sz w:val="21"/>
          <w:szCs w:val="21"/>
        </w:rPr>
        <w:t xml:space="preserve">位、监狱企业）组</w:t>
      </w:r>
      <w:r>
        <w:rPr>
          <w:rFonts w:hint="eastAsia" w:ascii="宋体" w:hAnsi="宋体"/>
          <w:bCs/>
          <w:color w:val="000000"/>
          <w:sz w:val="21"/>
          <w:szCs w:val="21"/>
          <w:highlight w:val="none"/>
        </w:rPr>
        <w:t xml:space="preserve">成联合体共同参加政府采购活动。联合协议中约定，小型、微型企业（残</w:t>
      </w:r>
      <w:r>
        <w:rPr>
          <w:rFonts w:hint="eastAsia" w:ascii="宋体" w:hAnsi="宋体"/>
          <w:bCs/>
          <w:color w:val="000000"/>
          <w:sz w:val="21"/>
          <w:szCs w:val="21"/>
          <w:highlight w:val="none"/>
        </w:rPr>
      </w:r>
      <w:r/>
    </w:p>
    <w:p>
      <w:pPr>
        <w:pStyle w:val="1070"/>
        <w:ind w:firstLine="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疾人福利单位、监狱企业）的协议合同金额占到联合体协议合同总金额30%以上的，给予联合体6%的价格扣除，用扣除后的价格参与评审。</w:t>
      </w:r>
      <w:r>
        <w:rPr>
          <w:rFonts w:hint="eastAsia" w:ascii="宋体" w:hAnsi="宋体"/>
          <w:bCs/>
          <w:color w:val="000000"/>
          <w:sz w:val="21"/>
          <w:szCs w:val="21"/>
          <w:highlight w:val="none"/>
        </w:rPr>
      </w:r>
      <w:r/>
    </w:p>
    <w:p>
      <w:pPr>
        <w:pStyle w:val="1070"/>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6、联合体各方均为小型、微型企业（残疾人福利单位、监狱企业）的，联合体享受20%</w:t>
      </w:r>
      <w:r>
        <w:rPr>
          <w:rFonts w:hint="eastAsia" w:ascii="宋体" w:hAnsi="宋体"/>
          <w:bCs/>
          <w:color w:val="000000"/>
          <w:sz w:val="21"/>
          <w:szCs w:val="21"/>
          <w:highlight w:val="none"/>
        </w:rPr>
      </w:r>
      <w:r/>
    </w:p>
    <w:p>
      <w:pPr>
        <w:pStyle w:val="1070"/>
        <w:ind w:firstLine="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价格扣除，用扣除后的价格参与评审。</w:t>
      </w:r>
      <w:r>
        <w:rPr>
          <w:rFonts w:hint="eastAsia" w:ascii="宋体" w:hAnsi="宋体"/>
          <w:bCs/>
          <w:color w:val="000000"/>
          <w:sz w:val="21"/>
          <w:szCs w:val="21"/>
          <w:highlight w:val="none"/>
        </w:rPr>
      </w:r>
      <w:r/>
    </w:p>
    <w:p>
      <w:pPr>
        <w:pStyle w:val="1070"/>
        <w:ind w:firstLine="0"/>
        <w:rPr>
          <w:rFonts w:hint="eastAsia" w:ascii="宋体" w:hAnsi="宋体"/>
          <w:color w:val="000000"/>
          <w:sz w:val="21"/>
          <w:szCs w:val="21"/>
        </w:rPr>
      </w:pPr>
      <w:r>
        <w:rPr>
          <w:rFonts w:hint="eastAsia" w:ascii="宋体" w:hAnsi="宋体"/>
          <w:color w:val="000000"/>
          <w:sz w:val="21"/>
          <w:szCs w:val="21"/>
        </w:rPr>
        <w:t xml:space="preserve">大中型企业向小型、微型企业分包的，分包意向协议约定小型、微型企业合同份额占到合同总金额30%以上的，给予6%的价格扣除，用扣除后的价格参与评审。</w:t>
      </w:r>
      <w:r>
        <w:rPr>
          <w:rFonts w:hint="eastAsia" w:ascii="宋体" w:hAnsi="宋体"/>
          <w:color w:val="000000"/>
          <w:sz w:val="21"/>
          <w:szCs w:val="21"/>
        </w:rPr>
      </w:r>
      <w:r/>
    </w:p>
    <w:p>
      <w:pPr>
        <w:pStyle w:val="1070"/>
        <w:ind w:firstLine="422"/>
        <w:rPr>
          <w:rFonts w:ascii="宋体" w:hAnsi="宋体"/>
          <w:b/>
          <w:color w:val="000000"/>
          <w:sz w:val="21"/>
          <w:szCs w:val="21"/>
          <w:highlight w:val="none"/>
        </w:rPr>
        <w:outlineLvl w:val="1"/>
      </w:pPr>
      <w:r>
        <w:rPr>
          <w:rFonts w:hint="eastAsia" w:ascii="宋体" w:hAnsi="宋体" w:eastAsia="宋体" w:cs="Times New Roman"/>
          <w:b/>
          <w:color w:val="000000"/>
          <w:sz w:val="21"/>
          <w:szCs w:val="21"/>
          <w:highlight w:val="none"/>
          <w:lang w:val="en-US" w:eastAsia="zh-CN" w:bidi="ar-SA"/>
        </w:rPr>
        <w:t xml:space="preserve">三、</w:t>
      </w:r>
      <w:r>
        <w:rPr>
          <w:rFonts w:hint="eastAsia" w:ascii="宋体" w:hAnsi="宋体"/>
          <w:b/>
          <w:color w:val="000000"/>
          <w:sz w:val="21"/>
          <w:szCs w:val="21"/>
          <w:highlight w:val="none"/>
        </w:rPr>
        <w:t xml:space="preserve">评标标准</w:t>
      </w:r>
      <w:r>
        <w:rPr>
          <w:rFonts w:hint="eastAsia" w:ascii="宋体" w:hAnsi="宋体"/>
          <w:b/>
          <w:color w:val="000000"/>
          <w:sz w:val="21"/>
          <w:szCs w:val="21"/>
          <w:highlight w:val="none"/>
        </w:rPr>
        <w:br w:type="textWrapping" w:clear="all"/>
      </w:r>
      <w:r>
        <w:rPr>
          <w:rFonts w:ascii="宋体" w:hAnsi="宋体"/>
          <w:b/>
          <w:color w:val="000000"/>
          <w:sz w:val="21"/>
          <w:szCs w:val="21"/>
          <w:highlight w:val="none"/>
        </w:rPr>
      </w:r>
      <w:r/>
    </w:p>
    <w:tbl>
      <w:tblPr>
        <w:tblW w:w="93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122"/>
        <w:gridCol w:w="6293"/>
        <w:gridCol w:w="742"/>
      </w:tblGrid>
      <w:tr>
        <w:trPr>
          <w:trHeight w:val="90"/>
        </w:trPr>
        <w:tc>
          <w:tcPr>
            <w:gridSpan w:val="2"/>
            <w:tcW w:w="2308" w:type="dxa"/>
            <w:vAlign w:val="center"/>
            <w:textDirection w:val="lrTb"/>
            <w:noWrap w:val="false"/>
          </w:tcPr>
          <w:p>
            <w:pPr>
              <w:pStyle w:val="1008"/>
              <w:jc w:val="center"/>
              <w:spacing w:line="300" w:lineRule="exact"/>
              <w:rPr>
                <w:szCs w:val="21"/>
              </w:rPr>
            </w:pPr>
            <w:r>
              <w:rPr>
                <w:szCs w:val="21"/>
              </w:rPr>
              <w:t xml:space="preserve">评分因素</w:t>
            </w:r>
            <w:r>
              <w:rPr>
                <w:szCs w:val="21"/>
              </w:rPr>
            </w:r>
            <w:r/>
          </w:p>
        </w:tc>
        <w:tc>
          <w:tcPr>
            <w:tcW w:w="6293" w:type="dxa"/>
            <w:vAlign w:val="center"/>
            <w:textDirection w:val="lrTb"/>
            <w:noWrap w:val="false"/>
          </w:tcPr>
          <w:p>
            <w:pPr>
              <w:pStyle w:val="1008"/>
              <w:ind w:firstLine="2940"/>
              <w:jc w:val="left"/>
              <w:spacing w:line="300" w:lineRule="exact"/>
              <w:rPr>
                <w:szCs w:val="21"/>
              </w:rPr>
            </w:pPr>
            <w:r>
              <w:rPr>
                <w:szCs w:val="21"/>
              </w:rPr>
              <w:t xml:space="preserve">评分标准</w:t>
            </w:r>
            <w:r>
              <w:rPr>
                <w:szCs w:val="21"/>
              </w:rPr>
            </w:r>
            <w:r/>
          </w:p>
        </w:tc>
        <w:tc>
          <w:tcPr>
            <w:tcW w:w="742" w:type="dxa"/>
            <w:vAlign w:val="center"/>
            <w:textDirection w:val="lrTb"/>
            <w:noWrap w:val="false"/>
          </w:tcPr>
          <w:p>
            <w:pPr>
              <w:pStyle w:val="1008"/>
              <w:jc w:val="center"/>
              <w:spacing w:line="300" w:lineRule="exact"/>
              <w:rPr>
                <w:szCs w:val="21"/>
              </w:rPr>
            </w:pPr>
            <w:r>
              <w:rPr>
                <w:szCs w:val="21"/>
              </w:rPr>
              <w:t xml:space="preserve">分值</w:t>
            </w:r>
            <w:r>
              <w:rPr>
                <w:szCs w:val="21"/>
              </w:rPr>
            </w:r>
            <w:r/>
          </w:p>
        </w:tc>
      </w:tr>
      <w:tr>
        <w:trPr>
          <w:trHeight w:val="1290"/>
        </w:trPr>
        <w:tc>
          <w:tcPr>
            <w:tcW w:w="1186" w:type="dxa"/>
            <w:vAlign w:val="center"/>
            <w:textDirection w:val="lrTb"/>
            <w:noWrap w:val="false"/>
          </w:tcPr>
          <w:p>
            <w:pPr>
              <w:pStyle w:val="1008"/>
              <w:jc w:val="center"/>
              <w:spacing w:line="300" w:lineRule="exact"/>
              <w:rPr>
                <w:rFonts w:hint="eastAsia" w:eastAsia="宋体"/>
                <w:color w:val="000000"/>
                <w:szCs w:val="21"/>
                <w:highlight w:val="none"/>
                <w:lang w:eastAsia="zh-CN"/>
              </w:rPr>
            </w:pPr>
            <w:r>
              <w:rPr>
                <w:rFonts w:hint="eastAsia"/>
                <w:color w:val="000000"/>
                <w:szCs w:val="21"/>
                <w:highlight w:val="none"/>
                <w:lang w:eastAsia="zh-CN"/>
              </w:rPr>
              <w:t xml:space="preserve">报价部分</w:t>
            </w:r>
            <w:r>
              <w:rPr>
                <w:rFonts w:hint="eastAsia"/>
                <w:color w:val="000000"/>
                <w:szCs w:val="21"/>
                <w:highlight w:val="none"/>
                <w:lang w:eastAsia="zh-CN"/>
              </w:rPr>
              <w:br w:type="textWrapping" w:clear="all"/>
            </w:r>
            <w:r>
              <w:rPr>
                <w:rFonts w:hint="eastAsia"/>
                <w:color w:val="000000"/>
                <w:szCs w:val="21"/>
                <w:highlight w:val="none"/>
                <w:lang w:eastAsia="zh-CN"/>
              </w:rPr>
              <w:t xml:space="preserve">（</w:t>
            </w:r>
            <w:r>
              <w:rPr>
                <w:rFonts w:hint="eastAsia"/>
                <w:color w:val="000000"/>
                <w:szCs w:val="21"/>
                <w:highlight w:val="none"/>
                <w:lang w:val="en-US" w:eastAsia="zh-CN"/>
              </w:rPr>
              <w:t xml:space="preserve">10分</w:t>
            </w:r>
            <w:r>
              <w:rPr>
                <w:rFonts w:hint="eastAsia"/>
                <w:color w:val="000000"/>
                <w:szCs w:val="21"/>
                <w:highlight w:val="none"/>
                <w:lang w:eastAsia="zh-CN"/>
              </w:rPr>
              <w:t xml:space="preserve">）</w:t>
            </w:r>
            <w:r>
              <w:rPr>
                <w:rFonts w:hint="eastAsia" w:eastAsia="宋体"/>
                <w:color w:val="000000"/>
                <w:szCs w:val="21"/>
                <w:highlight w:val="none"/>
                <w:lang w:eastAsia="zh-CN"/>
              </w:rPr>
            </w:r>
            <w:r/>
          </w:p>
        </w:tc>
        <w:tc>
          <w:tcPr>
            <w:tcW w:w="1122" w:type="dxa"/>
            <w:vAlign w:val="center"/>
            <w:textDirection w:val="lrTb"/>
            <w:noWrap w:val="false"/>
          </w:tcPr>
          <w:p>
            <w:pPr>
              <w:pStyle w:val="1008"/>
              <w:jc w:val="center"/>
              <w:spacing w:line="300" w:lineRule="exact"/>
              <w:rPr>
                <w:color w:val="000000"/>
                <w:szCs w:val="21"/>
                <w:highlight w:val="none"/>
              </w:rPr>
            </w:pPr>
            <w:r>
              <w:rPr>
                <w:color w:val="000000"/>
                <w:szCs w:val="21"/>
                <w:highlight w:val="none"/>
              </w:rPr>
              <w:t xml:space="preserve">投标报价</w:t>
            </w:r>
            <w:r>
              <w:rPr>
                <w:color w:val="000000"/>
                <w:szCs w:val="21"/>
                <w:highlight w:val="none"/>
              </w:rPr>
            </w:r>
            <w:r/>
          </w:p>
          <w:p>
            <w:pPr>
              <w:pStyle w:val="1008"/>
              <w:jc w:val="center"/>
              <w:spacing w:line="300" w:lineRule="exact"/>
              <w:rPr>
                <w:color w:val="000000"/>
                <w:szCs w:val="21"/>
                <w:highlight w:val="none"/>
              </w:rPr>
            </w:pPr>
            <w:r>
              <w:rPr>
                <w:color w:val="000000"/>
                <w:szCs w:val="21"/>
                <w:highlight w:val="none"/>
              </w:rPr>
            </w:r>
            <w:r/>
          </w:p>
        </w:tc>
        <w:tc>
          <w:tcPr>
            <w:tcW w:w="6293" w:type="dxa"/>
            <w:vAlign w:val="center"/>
            <w:textDirection w:val="lrTb"/>
            <w:noWrap w:val="false"/>
          </w:tcPr>
          <w:p>
            <w:pPr>
              <w:pStyle w:val="1008"/>
              <w:ind w:left="0"/>
              <w:jc w:val="left"/>
              <w:rPr>
                <w:rFonts w:hint="eastAsia"/>
                <w:b w:val="0"/>
                <w:bCs w:val="0"/>
              </w:rPr>
            </w:pPr>
            <w:r>
              <w:rPr>
                <w:rFonts w:hint="eastAsia"/>
                <w:b w:val="0"/>
                <w:bCs w:val="0"/>
              </w:rPr>
              <w:t xml:space="preserve">满足招标文件要求且投标价格最低的有效投标报价为评标基准价，其价格分为满分。</w:t>
            </w:r>
            <w:r>
              <w:rPr>
                <w:rFonts w:hint="eastAsia"/>
                <w:b w:val="0"/>
                <w:bCs w:val="0"/>
              </w:rPr>
            </w:r>
            <w:r/>
          </w:p>
          <w:p>
            <w:pPr>
              <w:pStyle w:val="1008"/>
              <w:ind w:left="0"/>
              <w:jc w:val="left"/>
            </w:pPr>
            <w:r>
              <w:rPr>
                <w:rFonts w:hint="eastAsia"/>
              </w:rPr>
              <w:t xml:space="preserve">其他投标人的价格分统一按照下列公式计算：</w:t>
            </w:r>
            <w:r/>
          </w:p>
          <w:p>
            <w:pPr>
              <w:pStyle w:val="1008"/>
              <w:spacing w:line="240" w:lineRule="auto"/>
            </w:pPr>
            <w:r>
              <w:rPr>
                <w:rFonts w:hint="eastAsia"/>
                <w:b w:val="0"/>
                <w:bCs w:val="0"/>
              </w:rPr>
              <w:t xml:space="preserve">投标报价得分=(评标基准价／投标报价)×</w:t>
            </w:r>
            <w:r>
              <w:rPr>
                <w:rFonts w:hint="eastAsia"/>
                <w:b w:val="0"/>
                <w:bCs w:val="0"/>
                <w:lang w:val="en-US" w:eastAsia="zh-CN"/>
              </w:rPr>
              <w:t xml:space="preserve">10</w:t>
            </w:r>
            <w:r>
              <w:rPr>
                <w:rFonts w:hint="eastAsia"/>
                <w:b w:val="0"/>
                <w:bCs w:val="0"/>
              </w:rPr>
              <w:t xml:space="preserve">。（小数点保留两位）</w:t>
            </w:r>
            <w:r/>
          </w:p>
        </w:tc>
        <w:tc>
          <w:tcPr>
            <w:tcW w:w="742" w:type="dxa"/>
            <w:vAlign w:val="center"/>
            <w:textDirection w:val="lrTb"/>
            <w:noWrap w:val="false"/>
          </w:tcPr>
          <w:p>
            <w:pPr>
              <w:pStyle w:val="1008"/>
              <w:jc w:val="center"/>
              <w:spacing w:line="300" w:lineRule="exact"/>
              <w:rPr>
                <w:rFonts w:eastAsia="宋体"/>
                <w:color w:val="000000"/>
                <w:szCs w:val="21"/>
                <w:highlight w:val="none"/>
                <w:lang w:val="en-US" w:eastAsia="zh-CN"/>
              </w:rPr>
            </w:pPr>
            <w:r>
              <w:rPr>
                <w:rFonts w:hint="eastAsia"/>
                <w:color w:val="000000"/>
                <w:szCs w:val="21"/>
                <w:highlight w:val="none"/>
                <w:lang w:val="en-US" w:eastAsia="zh-CN"/>
              </w:rPr>
              <w:t xml:space="preserve">10</w:t>
            </w:r>
            <w:r>
              <w:rPr>
                <w:rFonts w:eastAsia="宋体"/>
                <w:color w:val="000000"/>
                <w:szCs w:val="21"/>
                <w:highlight w:val="none"/>
                <w:lang w:val="en-US" w:eastAsia="zh-CN"/>
              </w:rPr>
            </w:r>
            <w:r/>
          </w:p>
        </w:tc>
      </w:tr>
      <w:tr>
        <w:trPr>
          <w:trHeight w:val="1465"/>
        </w:trPr>
        <w:tc>
          <w:tcPr>
            <w:tcW w:w="1186" w:type="dxa"/>
            <w:vAlign w:val="center"/>
            <w:vMerge w:val="restart"/>
            <w:textDirection w:val="lrTb"/>
            <w:noWrap w:val="false"/>
          </w:tcPr>
          <w:p>
            <w:pPr>
              <w:pStyle w:val="1008"/>
              <w:jc w:val="center"/>
              <w:spacing w:line="240" w:lineRule="auto"/>
              <w:rPr>
                <w:rFonts w:hint="eastAsia" w:ascii="Times New Roman" w:hAnsi="Times New Roman" w:eastAsia="宋体" w:cs="Times New Roman"/>
                <w:color w:val="000000"/>
                <w:szCs w:val="22"/>
                <w:highlight w:val="none"/>
                <w:lang w:eastAsia="zh-CN"/>
              </w:rPr>
            </w:pPr>
            <w:r>
              <w:rPr>
                <w:rFonts w:hint="eastAsia" w:ascii="Times New Roman" w:hAnsi="Times New Roman" w:eastAsia="宋体" w:cs="Times New Roman"/>
                <w:sz w:val="21"/>
                <w:szCs w:val="22"/>
              </w:rPr>
              <w:t xml:space="preserve">商务部分</w:t>
            </w:r>
            <w:r>
              <w:rPr>
                <w:rFonts w:hint="eastAsia" w:ascii="Times New Roman" w:hAnsi="Times New Roman" w:eastAsia="宋体" w:cs="Times New Roman"/>
                <w:sz w:val="21"/>
                <w:szCs w:val="22"/>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45</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color w:val="000000"/>
                <w:szCs w:val="22"/>
                <w:highlight w:val="none"/>
                <w:lang w:eastAsia="zh-CN"/>
              </w:rPr>
            </w:r>
            <w:r/>
          </w:p>
        </w:tc>
        <w:tc>
          <w:tcPr>
            <w:tcW w:w="1122" w:type="dxa"/>
            <w:vAlign w:val="center"/>
            <w:textDirection w:val="lrTb"/>
            <w:noWrap w:val="false"/>
          </w:tcPr>
          <w:p>
            <w:pPr>
              <w:pStyle w:val="1008"/>
              <w:jc w:val="center"/>
              <w:spacing w:line="240" w:lineRule="auto"/>
              <w:rPr>
                <w:rFonts w:hint="eastAsia" w:ascii="Times New Roman" w:hAnsi="Times New Roman" w:eastAsia="宋体" w:cs="Times New Roman"/>
                <w:color w:val="000000"/>
                <w:szCs w:val="22"/>
                <w:highlight w:val="none"/>
              </w:rPr>
            </w:pPr>
            <w:r>
              <w:rPr>
                <w:rFonts w:hint="eastAsia" w:ascii="Times New Roman" w:hAnsi="Times New Roman" w:eastAsia="宋体" w:cs="Times New Roman"/>
                <w:sz w:val="21"/>
                <w:szCs w:val="22"/>
              </w:rPr>
              <w:t xml:space="preserve">业绩</w:t>
            </w:r>
            <w:r>
              <w:rPr>
                <w:rFonts w:hint="eastAsia" w:ascii="Times New Roman" w:hAnsi="Times New Roman" w:eastAsia="宋体" w:cs="Times New Roman"/>
                <w:sz w:val="21"/>
                <w:szCs w:val="22"/>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20</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color w:val="000000"/>
                <w:szCs w:val="22"/>
                <w:highlight w:val="none"/>
              </w:rPr>
            </w:r>
            <w:r/>
          </w:p>
        </w:tc>
        <w:tc>
          <w:tcPr>
            <w:tcW w:w="6293" w:type="dxa"/>
            <w:vAlign w:val="center"/>
            <w:textDirection w:val="lrTb"/>
            <w:noWrap w:val="false"/>
          </w:tcPr>
          <w:p>
            <w:pPr>
              <w:pStyle w:val="1008"/>
              <w:ind w:left="0"/>
              <w:jc w:val="left"/>
              <w:rPr>
                <w:rFonts w:hint="eastAsia" w:ascii="Times New Roman" w:hAnsi="Times New Roman" w:eastAsia="宋体" w:cs="Times New Roman"/>
                <w:b w:val="0"/>
                <w:bCs w:val="0"/>
              </w:rPr>
            </w:pPr>
            <w:r>
              <w:rPr>
                <w:rFonts w:hint="eastAsia" w:ascii="Times New Roman" w:hAnsi="Times New Roman" w:eastAsia="宋体" w:cs="Times New Roman"/>
                <w:b w:val="0"/>
                <w:bCs w:val="0"/>
              </w:rPr>
              <w:t xml:space="preserve">投标人2022年1月1日以来（以合同签订日期为准）承担过县（市、区）级及以上</w:t>
            </w:r>
            <w:r>
              <w:rPr>
                <w:rFonts w:hint="eastAsia" w:ascii="Times New Roman" w:hAnsi="Times New Roman" w:eastAsia="宋体" w:cs="Times New Roman"/>
                <w:b w:val="0"/>
                <w:bCs w:val="0"/>
                <w:lang w:val="en-US" w:eastAsia="zh-CN"/>
              </w:rPr>
              <w:t xml:space="preserve">类似业绩</w:t>
            </w:r>
            <w:r>
              <w:rPr>
                <w:rFonts w:hint="eastAsia" w:ascii="Times New Roman" w:hAnsi="Times New Roman" w:eastAsia="宋体" w:cs="Times New Roman"/>
                <w:b w:val="0"/>
                <w:bCs w:val="0"/>
              </w:rPr>
              <w:t xml:space="preserve">的有一项得2分，该项最高得20分。</w:t>
            </w:r>
            <w:r>
              <w:rPr>
                <w:rFonts w:hint="eastAsia" w:ascii="Times New Roman" w:hAnsi="Times New Roman" w:eastAsia="宋体" w:cs="Times New Roman"/>
                <w:b w:val="0"/>
                <w:bCs w:val="0"/>
              </w:rPr>
            </w:r>
            <w:r/>
          </w:p>
          <w:p>
            <w:pPr>
              <w:pStyle w:val="1008"/>
              <w:ind w:left="0"/>
              <w:jc w:val="left"/>
              <w:rPr>
                <w:rFonts w:hint="eastAsia" w:ascii="Times New Roman" w:hAnsi="Times New Roman" w:eastAsia="宋体" w:cs="Times New Roman"/>
                <w:b w:val="0"/>
                <w:bCs w:val="0"/>
              </w:rPr>
            </w:pPr>
            <w:r>
              <w:rPr>
                <w:rFonts w:hint="eastAsia" w:ascii="Times New Roman" w:hAnsi="Times New Roman" w:eastAsia="宋体" w:cs="Times New Roman"/>
                <w:b w:val="0"/>
                <w:bCs w:val="0"/>
              </w:rPr>
              <w:t xml:space="preserve">注：提供合同原件扫描件，且合同中能体现服务内容，否则不得分。</w:t>
            </w:r>
            <w:r>
              <w:rPr>
                <w:rFonts w:hint="eastAsia" w:ascii="Times New Roman" w:hAnsi="Times New Roman" w:eastAsia="宋体" w:cs="Times New Roman"/>
                <w:b w:val="0"/>
                <w:bCs w:val="0"/>
              </w:rPr>
            </w:r>
            <w:r/>
          </w:p>
        </w:tc>
        <w:tc>
          <w:tcPr>
            <w:tcW w:w="742" w:type="dxa"/>
            <w:vAlign w:val="center"/>
            <w:textDirection w:val="lrTb"/>
            <w:noWrap w:val="false"/>
          </w:tcPr>
          <w:p>
            <w:pPr>
              <w:pStyle w:val="1008"/>
              <w:jc w:val="center"/>
              <w:spacing w:line="300" w:lineRule="exact"/>
              <w:rPr>
                <w:color w:val="000000"/>
                <w:szCs w:val="21"/>
                <w:highlight w:val="none"/>
                <w:lang w:val="en-US" w:eastAsia="zh-CN"/>
              </w:rPr>
            </w:pPr>
            <w:r>
              <w:rPr>
                <w:rFonts w:hint="eastAsia"/>
                <w:color w:val="000000"/>
                <w:szCs w:val="21"/>
                <w:highlight w:val="none"/>
                <w:lang w:val="en-US" w:eastAsia="zh-CN"/>
              </w:rPr>
              <w:t xml:space="preserve">20</w:t>
            </w:r>
            <w:r>
              <w:rPr>
                <w:color w:val="000000"/>
                <w:szCs w:val="21"/>
                <w:highlight w:val="none"/>
                <w:lang w:val="en-US" w:eastAsia="zh-CN"/>
              </w:rPr>
            </w:r>
            <w:r/>
          </w:p>
        </w:tc>
      </w:tr>
      <w:tr>
        <w:trPr>
          <w:trHeight w:val="1788"/>
        </w:trPr>
        <w:tc>
          <w:tcPr>
            <w:tcW w:w="1186" w:type="dxa"/>
            <w:vAlign w:val="center"/>
            <w:vMerge w:val="continue"/>
            <w:textDirection w:val="lrTb"/>
            <w:noWrap w:val="false"/>
          </w:tcPr>
          <w:p>
            <w:pPr>
              <w:pStyle w:val="1008"/>
              <w:jc w:val="center"/>
              <w:spacing w:line="240" w:lineRule="auto"/>
              <w:rPr>
                <w:rFonts w:hint="eastAsia" w:ascii="Times New Roman" w:hAnsi="Times New Roman" w:eastAsia="宋体" w:cs="Times New Roman"/>
                <w:sz w:val="21"/>
                <w:szCs w:val="22"/>
              </w:rPr>
            </w:pPr>
            <w:r>
              <w:rPr>
                <w:rFonts w:hint="eastAsia" w:ascii="Times New Roman" w:hAnsi="Times New Roman" w:eastAsia="宋体" w:cs="Times New Roman"/>
                <w:sz w:val="21"/>
                <w:szCs w:val="22"/>
              </w:rPr>
            </w:r>
            <w:r/>
          </w:p>
        </w:tc>
        <w:tc>
          <w:tcPr>
            <w:tcW w:w="1122" w:type="dxa"/>
            <w:vAlign w:val="center"/>
            <w:textDirection w:val="lrTb"/>
            <w:noWrap w:val="false"/>
          </w:tcPr>
          <w:p>
            <w:pPr>
              <w:pStyle w:val="1008"/>
              <w:jc w:val="center"/>
              <w:spacing w:line="240" w:lineRule="auto"/>
              <w:widowControl/>
              <w:rPr>
                <w:rFonts w:hint="eastAsia" w:ascii="Times New Roman" w:hAnsi="Times New Roman" w:eastAsia="宋体" w:cs="Times New Roman"/>
                <w:sz w:val="21"/>
                <w:szCs w:val="22"/>
              </w:rPr>
            </w:pPr>
            <w:r>
              <w:rPr>
                <w:rFonts w:hint="eastAsia" w:ascii="Times New Roman" w:hAnsi="Times New Roman" w:eastAsia="宋体" w:cs="Times New Roman"/>
                <w:sz w:val="21"/>
                <w:szCs w:val="22"/>
                <w:lang w:val="en-US" w:eastAsia="zh-CN"/>
              </w:rPr>
              <w:t xml:space="preserve">荣誉奖项</w:t>
            </w:r>
            <w:r>
              <w:rPr>
                <w:rFonts w:hint="eastAsia" w:ascii="Times New Roman" w:hAnsi="Times New Roman" w:eastAsia="宋体" w:cs="Times New Roman"/>
                <w:sz w:val="21"/>
                <w:szCs w:val="22"/>
                <w:lang w:val="en-US" w:eastAsia="zh-CN"/>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6</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sz w:val="21"/>
                <w:szCs w:val="22"/>
              </w:rPr>
            </w:r>
            <w:r/>
          </w:p>
        </w:tc>
        <w:tc>
          <w:tcPr>
            <w:tcW w:w="6293" w:type="dxa"/>
            <w:vAlign w:val="center"/>
            <w:textDirection w:val="lrTb"/>
            <w:noWrap w:val="false"/>
          </w:tcPr>
          <w:p>
            <w:pPr>
              <w:pStyle w:val="1008"/>
              <w:ind w:left="0"/>
              <w:jc w:val="left"/>
              <w:rPr>
                <w:rFonts w:hint="eastAsia" w:ascii="Times New Roman" w:hAnsi="Times New Roman" w:eastAsia="宋体" w:cs="Times New Roman"/>
                <w:b w:val="0"/>
                <w:bCs w:val="0"/>
              </w:rPr>
            </w:pPr>
            <w:r>
              <w:rPr>
                <w:rFonts w:hint="eastAsia" w:ascii="Times New Roman" w:hAnsi="Times New Roman" w:eastAsia="宋体" w:cs="Times New Roman"/>
                <w:b w:val="0"/>
                <w:bCs w:val="0"/>
              </w:rPr>
              <w:t xml:space="preserve">投标人承担的</w:t>
            </w:r>
            <w:r>
              <w:rPr>
                <w:rFonts w:hint="eastAsia" w:ascii="Times New Roman" w:hAnsi="Times New Roman" w:eastAsia="宋体" w:cs="Times New Roman"/>
                <w:b w:val="0"/>
                <w:bCs w:val="0"/>
                <w:lang w:val="en-US" w:eastAsia="zh-CN"/>
              </w:rPr>
              <w:t xml:space="preserve">地方能源发展</w:t>
            </w:r>
            <w:r>
              <w:rPr>
                <w:rFonts w:hint="eastAsia" w:ascii="Times New Roman" w:hAnsi="Times New Roman" w:eastAsia="宋体" w:cs="Times New Roman"/>
                <w:b w:val="0"/>
                <w:bCs w:val="0"/>
              </w:rPr>
              <w:t xml:space="preserve">、产业经济、区域发展等类似相关课题或规划业绩成果项目获得过省级优秀成果类奖项的，每有一个加1分，国家级优秀成果类奖项的，每有一个加2分，最高得6分。</w:t>
            </w:r>
            <w:r>
              <w:rPr>
                <w:rFonts w:hint="eastAsia" w:ascii="Times New Roman" w:hAnsi="Times New Roman" w:eastAsia="宋体" w:cs="Times New Roman"/>
                <w:b w:val="0"/>
                <w:bCs w:val="0"/>
              </w:rPr>
            </w:r>
            <w:r/>
          </w:p>
          <w:p>
            <w:pPr>
              <w:pStyle w:val="1008"/>
              <w:ind w:left="0"/>
              <w:jc w:val="left"/>
              <w:rPr>
                <w:rFonts w:hint="eastAsia" w:ascii="Times New Roman" w:hAnsi="Times New Roman" w:eastAsia="宋体" w:cs="Times New Roman"/>
                <w:b w:val="0"/>
                <w:bCs w:val="0"/>
                <w:i w:val="0"/>
                <w:iCs w:val="0"/>
                <w:sz w:val="21"/>
                <w:szCs w:val="22"/>
                <w:u w:val="none"/>
              </w:rPr>
            </w:pPr>
            <w:r>
              <w:rPr>
                <w:rFonts w:hint="eastAsia" w:ascii="Times New Roman" w:hAnsi="Times New Roman" w:eastAsia="宋体" w:cs="Times New Roman"/>
                <w:b w:val="0"/>
                <w:bCs w:val="0"/>
              </w:rPr>
              <w:t xml:space="preserve">注：提供合同或委托书、获奖证书等相关证明文件扫描件，否则不得分。</w:t>
            </w:r>
            <w:r>
              <w:rPr>
                <w:rFonts w:hint="eastAsia" w:ascii="Times New Roman" w:hAnsi="Times New Roman" w:eastAsia="宋体" w:cs="Times New Roman"/>
                <w:b w:val="0"/>
                <w:bCs w:val="0"/>
                <w:i w:val="0"/>
                <w:iCs w:val="0"/>
                <w:sz w:val="21"/>
                <w:szCs w:val="22"/>
                <w:u w:val="none"/>
              </w:rPr>
            </w:r>
            <w:r/>
          </w:p>
        </w:tc>
        <w:tc>
          <w:tcPr>
            <w:tcW w:w="742" w:type="dxa"/>
            <w:vAlign w:val="center"/>
            <w:textDirection w:val="lrTb"/>
            <w:noWrap w:val="false"/>
          </w:tcPr>
          <w:p>
            <w:pPr>
              <w:pStyle w:val="1008"/>
              <w:jc w:val="center"/>
              <w:spacing w:line="300" w:lineRule="exact"/>
              <w:rPr>
                <w:color w:val="000000"/>
                <w:szCs w:val="21"/>
                <w:highlight w:val="none"/>
                <w:lang w:val="en-US" w:eastAsia="zh-CN"/>
              </w:rPr>
            </w:pPr>
            <w:r>
              <w:rPr>
                <w:rFonts w:hint="eastAsia"/>
                <w:color w:val="000000"/>
                <w:szCs w:val="21"/>
                <w:highlight w:val="none"/>
                <w:lang w:val="en-US" w:eastAsia="zh-CN"/>
              </w:rPr>
              <w:t xml:space="preserve">6</w:t>
            </w:r>
            <w:r>
              <w:rPr>
                <w:color w:val="000000"/>
                <w:szCs w:val="21"/>
                <w:highlight w:val="none"/>
                <w:lang w:val="en-US" w:eastAsia="zh-CN"/>
              </w:rPr>
            </w:r>
            <w:r/>
          </w:p>
        </w:tc>
      </w:tr>
      <w:tr>
        <w:trPr>
          <w:trHeight w:val="946"/>
        </w:trPr>
        <w:tc>
          <w:tcPr>
            <w:tcW w:w="1186" w:type="dxa"/>
            <w:vAlign w:val="center"/>
            <w:vMerge w:val="continue"/>
            <w:textDirection w:val="lrTb"/>
            <w:noWrap w:val="false"/>
          </w:tcPr>
          <w:p>
            <w:pPr>
              <w:pStyle w:val="1008"/>
              <w:jc w:val="center"/>
              <w:spacing w:line="240" w:lineRule="auto"/>
              <w:rPr>
                <w:rFonts w:hint="eastAsia" w:ascii="Times New Roman" w:hAnsi="Times New Roman" w:eastAsia="宋体" w:cs="Times New Roman"/>
                <w:sz w:val="21"/>
                <w:szCs w:val="22"/>
              </w:rPr>
            </w:pPr>
            <w:r>
              <w:rPr>
                <w:rFonts w:hint="eastAsia" w:ascii="Times New Roman" w:hAnsi="Times New Roman" w:eastAsia="宋体" w:cs="Times New Roman"/>
                <w:sz w:val="21"/>
                <w:szCs w:val="22"/>
              </w:rPr>
            </w:r>
            <w:r/>
          </w:p>
        </w:tc>
        <w:tc>
          <w:tcPr>
            <w:tcW w:w="1122" w:type="dxa"/>
            <w:vAlign w:val="center"/>
            <w:textDirection w:val="lrTb"/>
            <w:noWrap w:val="false"/>
          </w:tcPr>
          <w:p>
            <w:pPr>
              <w:pStyle w:val="1008"/>
              <w:jc w:val="center"/>
              <w:spacing w:line="240" w:lineRule="auto"/>
              <w:widowControl/>
              <w:rPr>
                <w:rFonts w:hint="eastAsia" w:ascii="Times New Roman" w:hAnsi="Times New Roman" w:eastAsia="宋体" w:cs="Times New Roman"/>
                <w:sz w:val="21"/>
                <w:szCs w:val="22"/>
              </w:rPr>
            </w:pPr>
            <w:r>
              <w:rPr>
                <w:rFonts w:hint="eastAsia" w:ascii="Times New Roman" w:hAnsi="Times New Roman" w:eastAsia="宋体" w:cs="Times New Roman"/>
                <w:sz w:val="21"/>
                <w:szCs w:val="22"/>
                <w:lang w:eastAsia="zh-CN"/>
              </w:rPr>
              <w:t xml:space="preserve">项目负责人实力</w:t>
            </w:r>
            <w:r>
              <w:rPr>
                <w:rFonts w:hint="eastAsia" w:ascii="Times New Roman" w:hAnsi="Times New Roman" w:eastAsia="宋体" w:cs="Times New Roman"/>
                <w:sz w:val="21"/>
                <w:szCs w:val="22"/>
                <w:lang w:eastAsia="zh-CN"/>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5</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sz w:val="21"/>
                <w:szCs w:val="22"/>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项目负责人具有高级及以上职称的得3分，中级职称的得2分；否则不得分。按最高级别计取，最多得3分。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项目负责人同时具有国家咨询工程师（投资）证书的加2分。最多得2分。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本项最高得5分。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szCs w:val="22"/>
              </w:rPr>
            </w:pPr>
            <w:r>
              <w:rPr>
                <w:rFonts w:hint="eastAsia" w:ascii="Times New Roman" w:hAnsi="Times New Roman" w:eastAsia="宋体" w:cs="Times New Roman"/>
                <w:sz w:val="21"/>
                <w:lang w:val="en-US" w:eastAsia="zh-CN"/>
              </w:rPr>
              <w:t xml:space="preserve">注：须提供相关证书扫描件及投标人近三个月任意一月为其缴纳的社保证明材料扫描件，否则不得分。</w:t>
            </w:r>
            <w:r>
              <w:rPr>
                <w:rFonts w:hint="eastAsia" w:ascii="Times New Roman" w:hAnsi="Times New Roman" w:eastAsia="宋体" w:cs="Times New Roman"/>
                <w:sz w:val="21"/>
                <w:szCs w:val="22"/>
              </w:rPr>
            </w:r>
            <w:r/>
          </w:p>
        </w:tc>
        <w:tc>
          <w:tcPr>
            <w:tcW w:w="742" w:type="dxa"/>
            <w:vAlign w:val="center"/>
            <w:textDirection w:val="lrTb"/>
            <w:noWrap w:val="false"/>
          </w:tcPr>
          <w:p>
            <w:pPr>
              <w:pStyle w:val="1008"/>
              <w:jc w:val="center"/>
              <w:spacing w:line="300" w:lineRule="exact"/>
              <w:rPr>
                <w:color w:val="000000"/>
                <w:szCs w:val="21"/>
                <w:highlight w:val="none"/>
                <w:lang w:val="en-US" w:eastAsia="zh-CN"/>
              </w:rPr>
            </w:pPr>
            <w:r>
              <w:rPr>
                <w:rFonts w:hint="eastAsia"/>
                <w:color w:val="000000"/>
                <w:szCs w:val="21"/>
                <w:highlight w:val="none"/>
                <w:lang w:val="en-US" w:eastAsia="zh-CN"/>
              </w:rPr>
              <w:t xml:space="preserve">5</w:t>
            </w:r>
            <w:r>
              <w:rPr>
                <w:color w:val="000000"/>
                <w:szCs w:val="21"/>
                <w:highlight w:val="none"/>
                <w:lang w:val="en-US" w:eastAsia="zh-CN"/>
              </w:rPr>
            </w:r>
            <w:r/>
          </w:p>
        </w:tc>
      </w:tr>
      <w:tr>
        <w:trPr>
          <w:trHeight w:val="594"/>
        </w:trPr>
        <w:tc>
          <w:tcPr>
            <w:tcW w:w="1186" w:type="dxa"/>
            <w:vAlign w:val="center"/>
            <w:vMerge w:val="continue"/>
            <w:textDirection w:val="lrTb"/>
            <w:noWrap w:val="false"/>
          </w:tcPr>
          <w:p>
            <w:pPr>
              <w:pStyle w:val="1008"/>
              <w:jc w:val="center"/>
              <w:spacing w:line="240" w:lineRule="auto"/>
              <w:rPr>
                <w:rFonts w:hint="eastAsia" w:ascii="Times New Roman" w:hAnsi="Times New Roman" w:eastAsia="宋体" w:cs="Times New Roman"/>
                <w:sz w:val="21"/>
                <w:szCs w:val="22"/>
              </w:rPr>
            </w:pPr>
            <w:r>
              <w:rPr>
                <w:rFonts w:hint="eastAsia" w:ascii="Times New Roman" w:hAnsi="Times New Roman" w:eastAsia="宋体" w:cs="Times New Roman"/>
                <w:sz w:val="21"/>
                <w:szCs w:val="22"/>
              </w:rPr>
            </w:r>
            <w:r/>
          </w:p>
        </w:tc>
        <w:tc>
          <w:tcPr>
            <w:tcW w:w="1122" w:type="dxa"/>
            <w:vAlign w:val="center"/>
            <w:textDirection w:val="lrTb"/>
            <w:noWrap w:val="false"/>
          </w:tcPr>
          <w:p>
            <w:pPr>
              <w:pStyle w:val="1008"/>
              <w:jc w:val="center"/>
              <w:spacing w:line="240" w:lineRule="auto"/>
              <w:widowControl/>
              <w:rPr>
                <w:rFonts w:hint="eastAsia" w:ascii="Times New Roman" w:hAnsi="Times New Roman" w:eastAsia="宋体" w:cs="Times New Roman"/>
                <w:sz w:val="21"/>
                <w:szCs w:val="22"/>
                <w:lang w:eastAsia="zh-CN"/>
              </w:rPr>
            </w:pPr>
            <w:r>
              <w:rPr>
                <w:rFonts w:hint="eastAsia" w:ascii="Times New Roman" w:hAnsi="Times New Roman" w:eastAsia="宋体" w:cs="Times New Roman"/>
                <w:sz w:val="21"/>
                <w:szCs w:val="22"/>
              </w:rPr>
              <w:t xml:space="preserve">项目组人员实力</w:t>
            </w:r>
            <w:r>
              <w:rPr>
                <w:rFonts w:hint="eastAsia" w:ascii="Times New Roman" w:hAnsi="Times New Roman" w:eastAsia="宋体" w:cs="Times New Roman"/>
                <w:sz w:val="21"/>
                <w:szCs w:val="22"/>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14</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sz w:val="21"/>
                <w:szCs w:val="22"/>
                <w:lang w:eastAsia="zh-CN"/>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项目组成员（不包含项目负责人）每配备1名高级及以上职称的得2分，每配备一名中级职称的得1分。本项最高得8分。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以上项目组成员同时具有国家咨询工程师（投资）证书的，每配备1名得2分。最高得6分。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szCs w:val="22"/>
                <w:lang w:val="en-US" w:eastAsia="zh-CN"/>
              </w:rPr>
            </w:pPr>
            <w:r>
              <w:rPr>
                <w:rFonts w:hint="eastAsia" w:ascii="Times New Roman" w:hAnsi="Times New Roman" w:eastAsia="宋体" w:cs="Times New Roman"/>
                <w:sz w:val="21"/>
                <w:lang w:val="en-US" w:eastAsia="zh-CN"/>
              </w:rPr>
              <w:t xml:space="preserve">注：须提供相关证书扫描件及投标人近三个月任意一月为其缴纳的社保证明材料扫描件。否则不得分，人员不重复得分。</w:t>
            </w:r>
            <w:r>
              <w:rPr>
                <w:rFonts w:hint="eastAsia" w:ascii="Times New Roman" w:hAnsi="Times New Roman" w:eastAsia="宋体" w:cs="Times New Roman"/>
                <w:sz w:val="21"/>
                <w:szCs w:val="22"/>
                <w:lang w:val="en-US" w:eastAsia="zh-CN"/>
              </w:rPr>
            </w:r>
            <w:r/>
          </w:p>
        </w:tc>
        <w:tc>
          <w:tcPr>
            <w:tcW w:w="742" w:type="dxa"/>
            <w:vAlign w:val="center"/>
            <w:textDirection w:val="lrTb"/>
            <w:noWrap w:val="false"/>
          </w:tcPr>
          <w:p>
            <w:pPr>
              <w:pStyle w:val="1008"/>
              <w:jc w:val="center"/>
              <w:spacing w:line="300" w:lineRule="exact"/>
              <w:rPr>
                <w:color w:val="000000"/>
                <w:szCs w:val="21"/>
                <w:highlight w:val="none"/>
                <w:lang w:val="en-US" w:eastAsia="zh-CN"/>
              </w:rPr>
            </w:pPr>
            <w:r>
              <w:rPr>
                <w:rFonts w:hint="eastAsia"/>
                <w:color w:val="000000"/>
                <w:szCs w:val="21"/>
                <w:highlight w:val="none"/>
                <w:lang w:val="en-US" w:eastAsia="zh-CN"/>
              </w:rPr>
              <w:t xml:space="preserve">14</w:t>
            </w:r>
            <w:r>
              <w:rPr>
                <w:color w:val="000000"/>
                <w:szCs w:val="21"/>
                <w:highlight w:val="none"/>
                <w:lang w:val="en-US" w:eastAsia="zh-CN"/>
              </w:rPr>
            </w:r>
            <w:r/>
          </w:p>
        </w:tc>
      </w:tr>
      <w:tr>
        <w:trPr>
          <w:trHeight w:val="2201"/>
        </w:trPr>
        <w:tc>
          <w:tcPr>
            <w:tcW w:w="1186" w:type="dxa"/>
            <w:vAlign w:val="center"/>
            <w:vMerge w:val="restart"/>
            <w:textDirection w:val="lrTb"/>
            <w:noWrap w:val="false"/>
          </w:tcPr>
          <w:p>
            <w:pPr>
              <w:pStyle w:val="1008"/>
              <w:jc w:val="center"/>
              <w:spacing w:line="300" w:lineRule="exact"/>
              <w:rPr>
                <w:rFonts w:hint="eastAsia" w:eastAsia="宋体"/>
                <w:szCs w:val="21"/>
                <w:lang w:eastAsia="zh-CN"/>
              </w:rPr>
            </w:pPr>
            <w:r>
              <w:rPr>
                <w:rFonts w:hint="eastAsia"/>
                <w:szCs w:val="21"/>
                <w:highlight w:val="none"/>
                <w:lang w:eastAsia="zh-CN"/>
              </w:rPr>
              <w:t xml:space="preserve">技术部分</w:t>
            </w:r>
            <w:r>
              <w:rPr>
                <w:rFonts w:hint="eastAsia"/>
                <w:szCs w:val="21"/>
                <w:highlight w:val="none"/>
                <w:lang w:eastAsia="zh-CN"/>
              </w:rPr>
              <w:br w:type="textWrapping" w:clear="all"/>
            </w:r>
            <w:r>
              <w:rPr>
                <w:rFonts w:hint="eastAsia"/>
                <w:szCs w:val="21"/>
                <w:highlight w:val="none"/>
                <w:lang w:eastAsia="zh-CN"/>
              </w:rPr>
              <w:t xml:space="preserve">（</w:t>
            </w:r>
            <w:r>
              <w:rPr>
                <w:rFonts w:hint="eastAsia"/>
                <w:szCs w:val="21"/>
                <w:highlight w:val="none"/>
                <w:lang w:val="en-US" w:eastAsia="zh-CN"/>
              </w:rPr>
              <w:t xml:space="preserve">45分</w:t>
            </w:r>
            <w:r>
              <w:rPr>
                <w:rFonts w:hint="eastAsia"/>
                <w:szCs w:val="21"/>
                <w:highlight w:val="none"/>
                <w:lang w:eastAsia="zh-CN"/>
              </w:rPr>
              <w:t xml:space="preserve">）</w:t>
            </w:r>
            <w:r>
              <w:rPr>
                <w:rFonts w:hint="eastAsia" w:eastAsia="宋体"/>
                <w:szCs w:val="21"/>
                <w:lang w:eastAsia="zh-CN"/>
              </w:rPr>
            </w:r>
            <w:r/>
          </w:p>
        </w:tc>
        <w:tc>
          <w:tcPr>
            <w:tcW w:w="1122" w:type="dxa"/>
            <w:vAlign w:val="center"/>
            <w:textDirection w:val="lrTb"/>
            <w:noWrap w:val="false"/>
          </w:tcPr>
          <w:p>
            <w:pPr>
              <w:pStyle w:val="1008"/>
              <w:jc w:val="center"/>
              <w:spacing w:line="300" w:lineRule="exact"/>
              <w:rPr>
                <w:rFonts w:hint="eastAsia" w:ascii="宋体" w:hAnsi="宋体" w:eastAsia="宋体"/>
                <w:b w:val="0"/>
                <w:bCs/>
                <w:color w:val="000000"/>
                <w:sz w:val="21"/>
                <w:szCs w:val="21"/>
                <w:highlight w:val="none"/>
                <w:lang w:val="en-US" w:eastAsia="zh-CN"/>
              </w:rPr>
            </w:pPr>
            <w:r>
              <w:rPr>
                <w:rFonts w:hint="eastAsia" w:ascii="宋体" w:hAnsi="宋体"/>
                <w:b w:val="0"/>
                <w:bCs/>
                <w:color w:val="000000"/>
                <w:sz w:val="21"/>
                <w:szCs w:val="21"/>
                <w:highlight w:val="none"/>
              </w:rPr>
              <w:t xml:space="preserve">项目</w:t>
            </w:r>
            <w:r>
              <w:rPr>
                <w:rFonts w:hint="eastAsia" w:ascii="宋体" w:hAnsi="宋体"/>
                <w:b w:val="0"/>
                <w:bCs/>
                <w:color w:val="000000"/>
                <w:sz w:val="21"/>
                <w:szCs w:val="21"/>
                <w:highlight w:val="none"/>
                <w:lang w:val="en-US" w:eastAsia="zh-CN"/>
              </w:rPr>
              <w:t xml:space="preserve">理解</w:t>
            </w:r>
            <w:r>
              <w:rPr>
                <w:rFonts w:hint="eastAsia" w:ascii="宋体" w:hAnsi="宋体" w:eastAsia="宋体"/>
                <w:b w:val="0"/>
                <w:bCs/>
                <w:color w:val="000000"/>
                <w:sz w:val="21"/>
                <w:szCs w:val="21"/>
                <w:highlight w:val="none"/>
                <w:lang w:val="en-US" w:eastAsia="zh-CN"/>
              </w:rPr>
            </w:r>
            <w:r/>
          </w:p>
          <w:p>
            <w:pPr>
              <w:pStyle w:val="1008"/>
              <w:jc w:val="center"/>
              <w:spacing w:line="300" w:lineRule="exact"/>
              <w:rPr>
                <w:bCs/>
                <w:color w:val="000000"/>
                <w:szCs w:val="21"/>
                <w:highlight w:val="none"/>
              </w:rPr>
            </w:pPr>
            <w:r>
              <w:rPr>
                <w:rFonts w:hint="eastAsia" w:ascii="宋体" w:hAnsi="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12</w:t>
            </w:r>
            <w:r>
              <w:rPr>
                <w:rFonts w:hint="eastAsia" w:ascii="宋体" w:hAnsi="宋体"/>
                <w:b w:val="0"/>
                <w:bCs/>
                <w:color w:val="000000"/>
                <w:sz w:val="21"/>
                <w:szCs w:val="21"/>
                <w:highlight w:val="none"/>
              </w:rPr>
              <w:t xml:space="preserve">分)</w:t>
            </w:r>
            <w:r>
              <w:rPr>
                <w:bCs/>
                <w:color w:val="000000"/>
                <w:szCs w:val="21"/>
                <w:highlight w:val="none"/>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对本标段包含五个子项目分别提供项目理解包括（1）</w:t>
            </w:r>
            <w:r>
              <w:rPr>
                <w:rFonts w:hint="eastAsia" w:ascii="Times New Roman" w:hAnsi="Times New Roman" w:eastAsia="宋体" w:cs="Times New Roman"/>
                <w:color w:val="000000"/>
                <w:sz w:val="21"/>
                <w:highlight w:val="none"/>
                <w:lang w:val="zh-CN" w:eastAsia="zh-CN"/>
              </w:rPr>
              <w:t xml:space="preserve">对项目设立背景及相关政策法规</w:t>
            </w:r>
            <w:r>
              <w:rPr>
                <w:rFonts w:hint="eastAsia" w:ascii="Times New Roman" w:hAnsi="Times New Roman" w:eastAsia="宋体" w:cs="Times New Roman"/>
                <w:color w:val="000000"/>
                <w:sz w:val="21"/>
                <w:highlight w:val="none"/>
                <w:lang w:val="en-US" w:eastAsia="zh-CN"/>
              </w:rPr>
              <w:t xml:space="preserve">的理解；（2）</w:t>
            </w:r>
            <w:r>
              <w:rPr>
                <w:rFonts w:hint="eastAsia" w:ascii="Times New Roman" w:hAnsi="Times New Roman" w:eastAsia="宋体" w:cs="Times New Roman"/>
                <w:color w:val="000000"/>
                <w:sz w:val="21"/>
                <w:highlight w:val="none"/>
                <w:lang w:val="zh-CN" w:eastAsia="zh-CN"/>
              </w:rPr>
              <w:t xml:space="preserve">对项目的重点、难点的理解</w:t>
            </w:r>
            <w:r>
              <w:rPr>
                <w:rFonts w:hint="eastAsia" w:ascii="Times New Roman" w:hAnsi="Times New Roman" w:eastAsia="宋体" w:cs="Times New Roman"/>
                <w:color w:val="000000"/>
                <w:sz w:val="21"/>
                <w:highlight w:val="none"/>
                <w:lang w:val="en-US" w:eastAsia="zh-CN"/>
              </w:rPr>
              <w:t xml:space="preserve">。</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全部提供得6分，未提供或有缺项或方案内容不符合项目需求的不得分；</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zh-CN" w:eastAsia="zh-CN"/>
              </w:rPr>
            </w:pPr>
            <w:r>
              <w:rPr>
                <w:rFonts w:hint="eastAsia" w:ascii="Times New Roman" w:hAnsi="Times New Roman" w:eastAsia="宋体" w:cs="Times New Roman"/>
                <w:color w:val="000000"/>
                <w:sz w:val="21"/>
                <w:highlight w:val="none"/>
                <w:lang w:val="en-US" w:eastAsia="zh-CN"/>
              </w:rPr>
              <w:t xml:space="preserve">每一项提供详细、合理</w:t>
            </w:r>
            <w:r>
              <w:rPr>
                <w:rFonts w:hint="eastAsia" w:ascii="Times New Roman" w:hAnsi="Times New Roman" w:eastAsia="宋体" w:cs="Times New Roman"/>
                <w:color w:val="000000"/>
                <w:sz w:val="21"/>
                <w:highlight w:val="none"/>
                <w:lang w:val="zh-CN" w:eastAsia="zh-CN"/>
              </w:rPr>
              <w:t xml:space="preserve">方案</w:t>
            </w:r>
            <w:r>
              <w:rPr>
                <w:rFonts w:hint="eastAsia" w:ascii="Times New Roman" w:hAnsi="Times New Roman" w:eastAsia="宋体" w:cs="Times New Roman"/>
                <w:color w:val="000000"/>
                <w:sz w:val="21"/>
                <w:highlight w:val="none"/>
                <w:lang w:val="en-US" w:eastAsia="zh-CN"/>
              </w:rPr>
              <w:t xml:space="preserve">且针对性强的</w:t>
            </w:r>
            <w:r>
              <w:rPr>
                <w:rFonts w:hint="eastAsia" w:ascii="Times New Roman" w:hAnsi="Times New Roman" w:eastAsia="宋体" w:cs="Times New Roman"/>
                <w:color w:val="000000"/>
                <w:sz w:val="21"/>
                <w:highlight w:val="none"/>
                <w:lang w:val="zh-CN" w:eastAsia="zh-CN"/>
              </w:rPr>
              <w:t xml:space="preserve">加</w:t>
            </w:r>
            <w:r>
              <w:rPr>
                <w:rFonts w:hint="eastAsia" w:ascii="Times New Roman" w:hAnsi="Times New Roman" w:eastAsia="宋体" w:cs="Times New Roman"/>
                <w:color w:val="000000"/>
                <w:sz w:val="21"/>
                <w:highlight w:val="none"/>
                <w:lang w:val="en-US" w:eastAsia="zh-CN"/>
              </w:rPr>
              <w:t xml:space="preserve">3</w:t>
            </w:r>
            <w:r>
              <w:rPr>
                <w:rFonts w:hint="eastAsia" w:ascii="Times New Roman" w:hAnsi="Times New Roman" w:eastAsia="宋体" w:cs="Times New Roman"/>
                <w:color w:val="000000"/>
                <w:sz w:val="21"/>
                <w:highlight w:val="none"/>
                <w:lang w:val="zh-CN" w:eastAsia="zh-CN"/>
              </w:rPr>
              <w:t xml:space="preserve">分，</w:t>
            </w:r>
            <w:r>
              <w:rPr>
                <w:rFonts w:hint="eastAsia" w:ascii="Times New Roman" w:hAnsi="Times New Roman" w:eastAsia="宋体" w:cs="Times New Roman"/>
                <w:color w:val="000000"/>
                <w:sz w:val="21"/>
                <w:highlight w:val="none"/>
                <w:lang w:val="en-US" w:eastAsia="zh-CN"/>
              </w:rPr>
              <w:t xml:space="preserve">最高加6分</w:t>
            </w:r>
            <w:r>
              <w:rPr>
                <w:rFonts w:hint="eastAsia" w:ascii="Times New Roman" w:hAnsi="Times New Roman" w:eastAsia="宋体" w:cs="Times New Roman"/>
                <w:color w:val="000000"/>
                <w:sz w:val="21"/>
                <w:highlight w:val="none"/>
                <w:lang w:val="zh-CN" w:eastAsia="zh-CN"/>
              </w:rPr>
              <w:t xml:space="preserve">。</w:t>
            </w:r>
            <w:r>
              <w:rPr>
                <w:rFonts w:hint="eastAsia" w:ascii="Times New Roman" w:hAnsi="Times New Roman" w:eastAsia="宋体" w:cs="Times New Roman"/>
                <w:color w:val="000000"/>
                <w:sz w:val="21"/>
                <w:highlight w:val="none"/>
                <w:lang w:val="zh-CN"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本项最高得12分。</w:t>
            </w:r>
            <w:r>
              <w:rPr>
                <w:rFonts w:hint="eastAsia" w:ascii="Times New Roman" w:hAnsi="Times New Roman" w:eastAsia="宋体" w:cs="Times New Roman"/>
                <w:color w:val="000000"/>
                <w:sz w:val="21"/>
                <w:highlight w:val="none"/>
                <w:lang w:val="en-US" w:eastAsia="zh-CN"/>
              </w:rPr>
            </w:r>
            <w:r/>
          </w:p>
        </w:tc>
        <w:tc>
          <w:tcPr>
            <w:tcW w:w="742" w:type="dxa"/>
            <w:vAlign w:val="center"/>
            <w:textDirection w:val="lrTb"/>
            <w:noWrap w:val="false"/>
          </w:tcPr>
          <w:p>
            <w:pPr>
              <w:pStyle w:val="1008"/>
              <w:jc w:val="center"/>
              <w:spacing w:line="300" w:lineRule="exact"/>
              <w:rPr>
                <w:rFonts w:eastAsia="宋体"/>
                <w:color w:val="000000"/>
                <w:szCs w:val="21"/>
                <w:highlight w:val="none"/>
                <w:lang w:val="en-US" w:eastAsia="zh-CN"/>
              </w:rPr>
            </w:pPr>
            <w:r>
              <w:rPr>
                <w:rFonts w:hint="eastAsia"/>
                <w:color w:val="000000"/>
                <w:szCs w:val="21"/>
                <w:highlight w:val="none"/>
                <w:lang w:val="en-US" w:eastAsia="zh-CN"/>
              </w:rPr>
              <w:t xml:space="preserve">12</w:t>
            </w:r>
            <w:r>
              <w:rPr>
                <w:rFonts w:eastAsia="宋体"/>
                <w:color w:val="000000"/>
                <w:szCs w:val="21"/>
                <w:highlight w:val="none"/>
                <w:lang w:val="en-US" w:eastAsia="zh-CN"/>
              </w:rPr>
            </w:r>
            <w:r/>
          </w:p>
        </w:tc>
      </w:tr>
      <w:tr>
        <w:trPr>
          <w:trHeight w:val="2272"/>
        </w:trPr>
        <w:tc>
          <w:tcPr>
            <w:tcW w:w="1186" w:type="dxa"/>
            <w:vAlign w:val="center"/>
            <w:vMerge w:val="continue"/>
            <w:textDirection w:val="lrTb"/>
            <w:noWrap w:val="false"/>
          </w:tcPr>
          <w:p>
            <w:pPr>
              <w:pStyle w:val="1008"/>
              <w:spacing w:line="300" w:lineRule="exact"/>
              <w:rPr>
                <w:szCs w:val="21"/>
              </w:rPr>
            </w:pPr>
            <w:r>
              <w:rPr>
                <w:szCs w:val="21"/>
              </w:rPr>
            </w:r>
            <w:r/>
          </w:p>
        </w:tc>
        <w:tc>
          <w:tcPr>
            <w:tcW w:w="1122" w:type="dxa"/>
            <w:vAlign w:val="center"/>
            <w:textDirection w:val="lrTb"/>
            <w:noWrap w:val="false"/>
          </w:tcPr>
          <w:p>
            <w:pPr>
              <w:pStyle w:val="1008"/>
              <w:jc w:val="center"/>
              <w:spacing w:line="300" w:lineRule="exact"/>
              <w:rPr>
                <w:bCs/>
                <w:color w:val="000000"/>
                <w:szCs w:val="21"/>
                <w:highlight w:val="none"/>
              </w:rPr>
            </w:pPr>
            <w:r>
              <w:rPr>
                <w:rFonts w:hint="eastAsia" w:ascii="宋体" w:hAnsi="宋体"/>
                <w:b w:val="0"/>
                <w:bCs/>
                <w:color w:val="000000"/>
                <w:sz w:val="21"/>
                <w:szCs w:val="21"/>
                <w:highlight w:val="none"/>
              </w:rPr>
              <w:t xml:space="preserve">整体思路和框架</w:t>
            </w:r>
            <w:r>
              <w:rPr>
                <w:rFonts w:hint="eastAsia" w:ascii="宋体" w:hAnsi="宋体"/>
                <w:b w:val="0"/>
                <w:bCs/>
                <w:color w:val="000000"/>
                <w:sz w:val="21"/>
                <w:szCs w:val="21"/>
                <w:highlight w:val="none"/>
              </w:rPr>
              <w:br w:type="textWrapping" w:clear="all"/>
            </w:r>
            <w:r>
              <w:rPr>
                <w:rFonts w:hint="eastAsia" w:ascii="宋体" w:hAnsi="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14</w:t>
            </w:r>
            <w:r>
              <w:rPr>
                <w:rFonts w:hint="eastAsia" w:ascii="宋体" w:hAnsi="宋体"/>
                <w:b w:val="0"/>
                <w:bCs/>
                <w:color w:val="000000"/>
                <w:sz w:val="21"/>
                <w:szCs w:val="21"/>
                <w:highlight w:val="none"/>
              </w:rPr>
              <w:t xml:space="preserve">分)</w:t>
            </w:r>
            <w:r>
              <w:rPr>
                <w:bCs/>
                <w:color w:val="000000"/>
                <w:szCs w:val="21"/>
                <w:highlight w:val="none"/>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对本标段包含五个子项目分别提供整体思路和框架包括（1）编制思路；（2）技术路线；（3）初步研究框架；（4）研究方法。</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全部提供得6分，未提供或有缺项或方案内容不符合项目需求的不得分；</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每一项提供详细、合理方案且针对性强的加2分，最高加8分。</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本项最高得14分。</w:t>
            </w:r>
            <w:r>
              <w:rPr>
                <w:rFonts w:hint="eastAsia" w:ascii="Times New Roman" w:hAnsi="Times New Roman" w:eastAsia="宋体" w:cs="Times New Roman"/>
                <w:color w:val="000000"/>
                <w:sz w:val="21"/>
                <w:highlight w:val="none"/>
                <w:lang w:val="en-US" w:eastAsia="zh-CN"/>
              </w:rPr>
            </w:r>
            <w:r/>
          </w:p>
        </w:tc>
        <w:tc>
          <w:tcPr>
            <w:tcW w:w="742" w:type="dxa"/>
            <w:vAlign w:val="center"/>
            <w:textDirection w:val="lrTb"/>
            <w:noWrap w:val="false"/>
          </w:tcPr>
          <w:p>
            <w:pPr>
              <w:pStyle w:val="1008"/>
              <w:jc w:val="center"/>
              <w:spacing w:line="300" w:lineRule="exact"/>
              <w:rPr>
                <w:rFonts w:eastAsia="宋体"/>
                <w:color w:val="000000"/>
                <w:szCs w:val="21"/>
                <w:highlight w:val="none"/>
                <w:lang w:val="en-US" w:eastAsia="zh-CN"/>
              </w:rPr>
            </w:pPr>
            <w:r>
              <w:rPr>
                <w:rFonts w:hint="eastAsia"/>
                <w:color w:val="000000"/>
                <w:szCs w:val="21"/>
                <w:highlight w:val="none"/>
                <w:lang w:val="en-US" w:eastAsia="zh-CN"/>
              </w:rPr>
              <w:t xml:space="preserve">14</w:t>
            </w:r>
            <w:r>
              <w:rPr>
                <w:rFonts w:eastAsia="宋体"/>
                <w:color w:val="000000"/>
                <w:szCs w:val="21"/>
                <w:highlight w:val="none"/>
                <w:lang w:val="en-US" w:eastAsia="zh-CN"/>
              </w:rPr>
            </w:r>
            <w:r/>
          </w:p>
        </w:tc>
      </w:tr>
      <w:tr>
        <w:trPr>
          <w:trHeight w:val="1897"/>
        </w:trPr>
        <w:tc>
          <w:tcPr>
            <w:tcW w:w="1186" w:type="dxa"/>
            <w:vAlign w:val="center"/>
            <w:vMerge w:val="continue"/>
            <w:textDirection w:val="lrTb"/>
            <w:noWrap w:val="false"/>
          </w:tcPr>
          <w:p>
            <w:pPr>
              <w:pStyle w:val="1008"/>
              <w:spacing w:line="300" w:lineRule="exact"/>
              <w:rPr>
                <w:szCs w:val="21"/>
              </w:rPr>
            </w:pPr>
            <w:r>
              <w:rPr>
                <w:szCs w:val="21"/>
              </w:rPr>
            </w:r>
            <w:r/>
          </w:p>
        </w:tc>
        <w:tc>
          <w:tcPr>
            <w:tcW w:w="1122" w:type="dxa"/>
            <w:vAlign w:val="center"/>
            <w:textDirection w:val="lrTb"/>
            <w:noWrap w:val="false"/>
          </w:tcPr>
          <w:p>
            <w:pPr>
              <w:pStyle w:val="1008"/>
              <w:jc w:val="center"/>
              <w:spacing w:line="300" w:lineRule="exact"/>
              <w:rPr>
                <w:bCs/>
                <w:szCs w:val="21"/>
              </w:rPr>
            </w:pPr>
            <w:r>
              <w:rPr>
                <w:rFonts w:hint="eastAsia" w:ascii="宋体" w:hAnsi="宋体" w:eastAsia="宋体" w:cs="Times New Roman"/>
                <w:b w:val="0"/>
                <w:bCs/>
                <w:color w:val="000000"/>
                <w:sz w:val="21"/>
                <w:szCs w:val="21"/>
              </w:rPr>
              <w:t xml:space="preserve">计划和进度(</w:t>
            </w:r>
            <w:r>
              <w:rPr>
                <w:rFonts w:hint="eastAsia" w:ascii="宋体" w:hAnsi="宋体" w:eastAsia="宋体" w:cs="Times New Roman"/>
                <w:b w:val="0"/>
                <w:bCs/>
                <w:color w:val="000000"/>
                <w:sz w:val="21"/>
                <w:szCs w:val="21"/>
                <w:lang w:val="en-US" w:eastAsia="zh-CN"/>
              </w:rPr>
              <w:t xml:space="preserve">6</w:t>
            </w:r>
            <w:r>
              <w:rPr>
                <w:rFonts w:hint="eastAsia" w:ascii="宋体" w:hAnsi="宋体" w:eastAsia="宋体" w:cs="Times New Roman"/>
                <w:b w:val="0"/>
                <w:bCs/>
                <w:color w:val="000000"/>
                <w:sz w:val="21"/>
                <w:szCs w:val="21"/>
              </w:rPr>
              <w:t xml:space="preserve">分)</w:t>
            </w:r>
            <w:r>
              <w:rPr>
                <w:bCs/>
                <w:szCs w:val="21"/>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包括（1）项目计划和进度安排；（2）工期保障措施。</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全部提供得3分，未提供或有缺项或方案内容不符合项目需求的不得分；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每一项提供详细、合理方案且针对性强的加1.5分，最高加3分。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本项最高得6分。</w:t>
            </w:r>
            <w:r>
              <w:rPr>
                <w:rFonts w:hint="eastAsia" w:ascii="Times New Roman" w:hAnsi="Times New Roman" w:eastAsia="宋体" w:cs="Times New Roman"/>
                <w:sz w:val="21"/>
                <w:lang w:val="en-US" w:eastAsia="zh-CN"/>
              </w:rPr>
            </w:r>
            <w:r/>
          </w:p>
        </w:tc>
        <w:tc>
          <w:tcPr>
            <w:tcW w:w="742" w:type="dxa"/>
            <w:vAlign w:val="center"/>
            <w:textDirection w:val="lrTb"/>
            <w:noWrap w:val="false"/>
          </w:tcPr>
          <w:p>
            <w:pPr>
              <w:pStyle w:val="1008"/>
              <w:jc w:val="center"/>
              <w:spacing w:line="300" w:lineRule="exact"/>
              <w:rPr>
                <w:rFonts w:eastAsia="宋体"/>
                <w:szCs w:val="21"/>
                <w:lang w:val="en-US" w:eastAsia="zh-CN"/>
              </w:rPr>
            </w:pPr>
            <w:r>
              <w:rPr>
                <w:rFonts w:hint="eastAsia"/>
                <w:szCs w:val="21"/>
                <w:lang w:val="en-US" w:eastAsia="zh-CN"/>
              </w:rPr>
              <w:t xml:space="preserve">6</w:t>
            </w:r>
            <w:r>
              <w:rPr>
                <w:rFonts w:eastAsia="宋体"/>
                <w:szCs w:val="21"/>
                <w:lang w:val="en-US" w:eastAsia="zh-CN"/>
              </w:rPr>
            </w:r>
            <w:r/>
          </w:p>
        </w:tc>
      </w:tr>
      <w:tr>
        <w:trPr>
          <w:trHeight w:val="1632"/>
        </w:trPr>
        <w:tc>
          <w:tcPr>
            <w:tcW w:w="1186" w:type="dxa"/>
            <w:vAlign w:val="center"/>
            <w:vMerge w:val="continue"/>
            <w:textDirection w:val="lrTb"/>
            <w:noWrap w:val="false"/>
          </w:tcPr>
          <w:p>
            <w:pPr>
              <w:pStyle w:val="1008"/>
              <w:spacing w:line="300" w:lineRule="exact"/>
              <w:rPr>
                <w:szCs w:val="21"/>
              </w:rPr>
            </w:pPr>
            <w:r>
              <w:rPr>
                <w:szCs w:val="21"/>
              </w:rPr>
            </w:r>
            <w:r/>
          </w:p>
        </w:tc>
        <w:tc>
          <w:tcPr>
            <w:tcW w:w="1122" w:type="dxa"/>
            <w:vAlign w:val="center"/>
            <w:textDirection w:val="lrTb"/>
            <w:noWrap w:val="false"/>
          </w:tcPr>
          <w:p>
            <w:pPr>
              <w:pStyle w:val="1008"/>
              <w:jc w:val="center"/>
              <w:spacing w:line="300" w:lineRule="exact"/>
              <w:rPr>
                <w:bCs/>
                <w:szCs w:val="21"/>
              </w:rPr>
            </w:pPr>
            <w:r>
              <w:rPr>
                <w:rFonts w:hint="eastAsia" w:ascii="宋体" w:hAnsi="宋体" w:eastAsia="宋体" w:cs="Times New Roman"/>
                <w:b w:val="0"/>
                <w:bCs/>
                <w:color w:val="000000"/>
                <w:sz w:val="21"/>
                <w:szCs w:val="21"/>
              </w:rPr>
              <w:t xml:space="preserve">成果质量保证措施</w:t>
            </w:r>
            <w:r>
              <w:rPr>
                <w:rFonts w:hint="eastAsia" w:ascii="宋体" w:hAnsi="宋体" w:eastAsia="宋体" w:cs="Times New Roman"/>
                <w:b w:val="0"/>
                <w:bCs/>
                <w:color w:val="000000"/>
                <w:sz w:val="21"/>
                <w:szCs w:val="21"/>
              </w:rPr>
              <w:br w:type="textWrapping" w:clear="all"/>
            </w:r>
            <w:r>
              <w:rPr>
                <w:rFonts w:hint="eastAsia" w:ascii="宋体" w:hAnsi="宋体" w:eastAsia="宋体" w:cs="Times New Roman"/>
                <w:b w:val="0"/>
                <w:bCs/>
                <w:color w:val="000000"/>
                <w:sz w:val="21"/>
                <w:szCs w:val="21"/>
              </w:rPr>
              <w:t xml:space="preserve">(</w:t>
            </w:r>
            <w:r>
              <w:rPr>
                <w:rFonts w:hint="eastAsia" w:ascii="宋体" w:hAnsi="宋体" w:eastAsia="宋体" w:cs="Times New Roman"/>
                <w:b w:val="0"/>
                <w:bCs/>
                <w:color w:val="000000"/>
                <w:sz w:val="21"/>
                <w:szCs w:val="21"/>
                <w:lang w:val="en-US" w:eastAsia="zh-CN"/>
              </w:rPr>
              <w:t xml:space="preserve">7</w:t>
            </w:r>
            <w:r>
              <w:rPr>
                <w:rFonts w:hint="eastAsia" w:ascii="宋体" w:hAnsi="宋体" w:eastAsia="宋体" w:cs="Times New Roman"/>
                <w:b w:val="0"/>
                <w:bCs/>
                <w:color w:val="000000"/>
                <w:sz w:val="21"/>
                <w:szCs w:val="21"/>
              </w:rPr>
              <w:t xml:space="preserve">分)</w:t>
            </w:r>
            <w:r>
              <w:rPr>
                <w:bCs/>
                <w:szCs w:val="21"/>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包括（1）成果质量保证措施方案；（2）后续服务保障措施方案；</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全部提供得3分，未提供或有缺项或方案内容不符合项目需求的不得分；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每一项提供详细、合理方案且针对性强的加2分，最高加4分。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本项最高得7分。</w:t>
            </w:r>
            <w:r>
              <w:rPr>
                <w:rFonts w:hint="eastAsia" w:ascii="Times New Roman" w:hAnsi="Times New Roman" w:eastAsia="宋体" w:cs="Times New Roman"/>
                <w:sz w:val="21"/>
                <w:lang w:val="en-US" w:eastAsia="zh-CN"/>
              </w:rPr>
            </w:r>
            <w:r/>
          </w:p>
        </w:tc>
        <w:tc>
          <w:tcPr>
            <w:tcW w:w="742" w:type="dxa"/>
            <w:vAlign w:val="center"/>
            <w:textDirection w:val="lrTb"/>
            <w:noWrap w:val="false"/>
          </w:tcPr>
          <w:p>
            <w:pPr>
              <w:pStyle w:val="1008"/>
              <w:jc w:val="center"/>
              <w:spacing w:line="300" w:lineRule="exact"/>
              <w:rPr>
                <w:rFonts w:eastAsia="宋体"/>
                <w:szCs w:val="21"/>
                <w:lang w:val="en-US" w:eastAsia="zh-CN"/>
              </w:rPr>
            </w:pPr>
            <w:r>
              <w:rPr>
                <w:rFonts w:hint="eastAsia"/>
                <w:szCs w:val="21"/>
                <w:lang w:val="en-US" w:eastAsia="zh-CN"/>
              </w:rPr>
              <w:t xml:space="preserve">7</w:t>
            </w:r>
            <w:r>
              <w:rPr>
                <w:rFonts w:eastAsia="宋体"/>
                <w:szCs w:val="21"/>
                <w:lang w:val="en-US" w:eastAsia="zh-CN"/>
              </w:rPr>
            </w:r>
            <w:r/>
          </w:p>
        </w:tc>
      </w:tr>
      <w:tr>
        <w:trPr>
          <w:trHeight w:val="1819"/>
        </w:trPr>
        <w:tc>
          <w:tcPr>
            <w:tcW w:w="1186" w:type="dxa"/>
            <w:vAlign w:val="center"/>
            <w:vMerge w:val="continue"/>
            <w:textDirection w:val="lrTb"/>
            <w:noWrap w:val="false"/>
          </w:tcPr>
          <w:p>
            <w:pPr>
              <w:pStyle w:val="1008"/>
              <w:spacing w:line="300" w:lineRule="exact"/>
              <w:rPr>
                <w:szCs w:val="21"/>
              </w:rPr>
            </w:pPr>
            <w:r>
              <w:rPr>
                <w:szCs w:val="21"/>
              </w:rPr>
            </w:r>
            <w:r/>
          </w:p>
        </w:tc>
        <w:tc>
          <w:tcPr>
            <w:tcW w:w="1122" w:type="dxa"/>
            <w:vAlign w:val="center"/>
            <w:textDirection w:val="lrTb"/>
            <w:noWrap w:val="false"/>
          </w:tcPr>
          <w:p>
            <w:pPr>
              <w:pStyle w:val="1008"/>
              <w:jc w:val="center"/>
              <w:spacing w:line="300" w:lineRule="exact"/>
              <w:rPr>
                <w:bCs/>
                <w:szCs w:val="21"/>
              </w:rPr>
            </w:pPr>
            <w:r>
              <w:rPr>
                <w:rFonts w:hint="eastAsia" w:ascii="宋体" w:hAnsi="宋体" w:eastAsia="宋体" w:cs="Times New Roman"/>
                <w:b w:val="0"/>
                <w:bCs/>
                <w:color w:val="000000"/>
                <w:sz w:val="21"/>
                <w:szCs w:val="21"/>
              </w:rPr>
              <w:t xml:space="preserve">安全保密措施评价</w:t>
            </w:r>
            <w:r>
              <w:rPr>
                <w:rFonts w:hint="eastAsia" w:ascii="宋体" w:hAnsi="宋体" w:eastAsia="宋体" w:cs="Times New Roman"/>
                <w:b w:val="0"/>
                <w:bCs/>
                <w:color w:val="000000"/>
                <w:sz w:val="21"/>
                <w:szCs w:val="21"/>
              </w:rPr>
              <w:br w:type="textWrapping" w:clear="all"/>
            </w:r>
            <w:r>
              <w:rPr>
                <w:rFonts w:hint="eastAsia" w:ascii="宋体" w:hAnsi="宋体" w:eastAsia="宋体" w:cs="Times New Roman"/>
                <w:b w:val="0"/>
                <w:bCs/>
                <w:color w:val="000000"/>
                <w:sz w:val="21"/>
                <w:szCs w:val="21"/>
              </w:rPr>
              <w:t xml:space="preserve">(</w:t>
            </w:r>
            <w:r>
              <w:rPr>
                <w:rFonts w:hint="eastAsia" w:ascii="宋体" w:hAnsi="宋体" w:eastAsia="宋体" w:cs="Times New Roman"/>
                <w:b w:val="0"/>
                <w:bCs/>
                <w:color w:val="000000"/>
                <w:sz w:val="21"/>
                <w:szCs w:val="21"/>
                <w:lang w:val="en-US" w:eastAsia="zh-CN"/>
              </w:rPr>
              <w:t xml:space="preserve">6</w:t>
            </w:r>
            <w:r>
              <w:rPr>
                <w:rFonts w:hint="eastAsia" w:ascii="宋体" w:hAnsi="宋体" w:eastAsia="宋体" w:cs="Times New Roman"/>
                <w:b w:val="0"/>
                <w:bCs/>
                <w:color w:val="000000"/>
                <w:sz w:val="21"/>
                <w:szCs w:val="21"/>
              </w:rPr>
              <w:t xml:space="preserve">分)</w:t>
            </w:r>
            <w:r>
              <w:rPr>
                <w:bCs/>
                <w:szCs w:val="21"/>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包括（1）安全责任制度；（2）数据资料保密制度；</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全部提供得3分，未提供或有缺项或方案内容不符合项目需求的不得分；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每一项提供详细、合理方案且针对性强的加1.5分，最高加3分。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本项最高得6分。</w:t>
            </w:r>
            <w:r>
              <w:rPr>
                <w:rFonts w:hint="eastAsia" w:ascii="Times New Roman" w:hAnsi="Times New Roman" w:eastAsia="宋体" w:cs="Times New Roman"/>
                <w:sz w:val="21"/>
                <w:lang w:val="en-US" w:eastAsia="zh-CN"/>
              </w:rPr>
            </w:r>
            <w:r/>
          </w:p>
        </w:tc>
        <w:tc>
          <w:tcPr>
            <w:tcW w:w="742" w:type="dxa"/>
            <w:vAlign w:val="center"/>
            <w:textDirection w:val="lrTb"/>
            <w:noWrap w:val="false"/>
          </w:tcPr>
          <w:p>
            <w:pPr>
              <w:pStyle w:val="1008"/>
              <w:jc w:val="center"/>
              <w:spacing w:line="300" w:lineRule="exact"/>
              <w:rPr>
                <w:rFonts w:eastAsia="宋体"/>
                <w:szCs w:val="21"/>
                <w:lang w:val="en-US" w:eastAsia="zh-CN"/>
              </w:rPr>
            </w:pPr>
            <w:r>
              <w:rPr>
                <w:rFonts w:hint="eastAsia"/>
                <w:szCs w:val="21"/>
                <w:lang w:val="en-US" w:eastAsia="zh-CN"/>
              </w:rPr>
              <w:t xml:space="preserve">6</w:t>
            </w:r>
            <w:r>
              <w:rPr>
                <w:rFonts w:eastAsia="宋体"/>
                <w:szCs w:val="21"/>
                <w:lang w:val="en-US" w:eastAsia="zh-CN"/>
              </w:rPr>
            </w:r>
            <w:r/>
          </w:p>
        </w:tc>
      </w:tr>
    </w:tbl>
    <w:p>
      <w:pPr>
        <w:pStyle w:val="1070"/>
        <w:ind w:firstLine="422"/>
        <w:rPr>
          <w:rFonts w:ascii="宋体" w:hAnsi="宋体"/>
          <w:b/>
          <w:color w:val="000000"/>
          <w:sz w:val="21"/>
          <w:szCs w:val="21"/>
          <w:highlight w:val="none"/>
        </w:rPr>
        <w:outlineLvl w:val="1"/>
      </w:pPr>
      <w:r>
        <w:rPr>
          <w:rFonts w:ascii="宋体" w:hAnsi="宋体"/>
          <w:b/>
          <w:color w:val="000000"/>
          <w:sz w:val="21"/>
          <w:szCs w:val="21"/>
          <w:highlight w:val="none"/>
        </w:rPr>
      </w:r>
      <w:r/>
    </w:p>
    <w:p>
      <w:pPr>
        <w:pStyle w:val="1008"/>
        <w:spacing w:line="320" w:lineRule="exact"/>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p>
      <w:pPr>
        <w:pStyle w:val="1008"/>
        <w:ind w:firstLine="422"/>
        <w:spacing w:line="320" w:lineRule="exact"/>
        <w:rPr>
          <w:rFonts w:ascii="宋体" w:hAnsi="宋体"/>
          <w:color w:val="000000"/>
          <w:szCs w:val="21"/>
        </w:rPr>
        <w:sectPr>
          <w:footerReference w:type="default" r:id="rId14"/>
          <w:footnotePr/>
          <w:endnotePr/>
          <w:type w:val="nextPage"/>
          <w:pgSz w:w="11906" w:h="16838" w:orient="portrait"/>
          <w:pgMar w:top="1440" w:right="1286" w:bottom="1440" w:left="1380" w:header="851" w:footer="992" w:gutter="0"/>
          <w:pgNumType w:start="1"/>
          <w:cols w:num="1" w:sep="0" w:space="1701" w:equalWidth="1"/>
          <w:docGrid w:linePitch="360"/>
        </w:sectPr>
      </w:pPr>
      <w:r>
        <w:rPr>
          <w:rFonts w:hint="eastAsia" w:ascii="宋体" w:hAnsi="宋体"/>
          <w:b/>
          <w:color w:val="000000"/>
          <w:szCs w:val="21"/>
        </w:rPr>
        <w:t xml:space="preserve">1、为便于评分，请投标人按评分表样式，逐条列出证明材料所在页码，格式自定</w:t>
      </w:r>
      <w:r>
        <w:rPr>
          <w:rFonts w:hint="eastAsia" w:ascii="宋体" w:hAnsi="宋体"/>
          <w:color w:val="000000"/>
          <w:szCs w:val="21"/>
        </w:rPr>
        <w:t xml:space="preserve">。</w:t>
      </w:r>
      <w:r>
        <w:rPr>
          <w:rFonts w:ascii="宋体" w:hAnsi="宋体"/>
          <w:color w:val="000000"/>
          <w:szCs w:val="21"/>
        </w:rPr>
      </w:r>
      <w:r/>
    </w:p>
    <w:p>
      <w:pPr>
        <w:pStyle w:val="1009"/>
        <w:jc w:val="center"/>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第六章 竞争性磋商响应文件格式</w:t>
      </w:r>
      <w:r>
        <w:rPr>
          <w:rFonts w:hint="eastAsia" w:ascii="宋体" w:hAnsi="宋体" w:eastAsia="宋体" w:cs="宋体"/>
          <w:color w:val="000000"/>
          <w:sz w:val="36"/>
          <w:szCs w:val="36"/>
        </w:rPr>
      </w:r>
      <w:r/>
    </w:p>
    <w:p>
      <w:pPr>
        <w:pStyle w:val="1008"/>
        <w:jc w:val="center"/>
        <w:rPr>
          <w:rFonts w:hint="eastAsia" w:ascii="宋体" w:hAnsi="宋体"/>
          <w:b/>
          <w:color w:val="000000"/>
          <w:sz w:val="22"/>
        </w:rPr>
      </w:pPr>
      <w:r>
        <w:rPr>
          <w:rFonts w:hint="eastAsia" w:ascii="宋体" w:hAnsi="宋体"/>
          <w:b/>
          <w:color w:val="000000"/>
          <w:sz w:val="22"/>
        </w:rPr>
      </w:r>
      <w:r/>
    </w:p>
    <w:p>
      <w:pPr>
        <w:pStyle w:val="1008"/>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1008"/>
        <w:jc w:val="center"/>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rPr>
          <w:rFonts w:hint="eastAsia" w:ascii="宋体" w:hAnsi="宋体" w:cs="Arial"/>
          <w:b/>
          <w:bCs/>
          <w:color w:val="000000"/>
          <w:sz w:val="72"/>
          <w:szCs w:val="72"/>
        </w:rPr>
      </w:r>
      <w:r/>
    </w:p>
    <w:p>
      <w:pPr>
        <w:pStyle w:val="1008"/>
        <w:jc w:val="center"/>
        <w:rPr>
          <w:rFonts w:hint="eastAsia" w:ascii="宋体" w:hAnsi="宋体"/>
          <w:b/>
          <w:color w:val="000000"/>
          <w:sz w:val="72"/>
          <w:szCs w:val="21"/>
        </w:rPr>
      </w:pPr>
      <w:r>
        <w:rPr>
          <w:rFonts w:hint="eastAsia" w:ascii="宋体" w:hAnsi="宋体"/>
          <w:b/>
          <w:color w:val="000000"/>
          <w:sz w:val="72"/>
          <w:szCs w:val="21"/>
        </w:rPr>
      </w:r>
      <w:r/>
    </w:p>
    <w:p>
      <w:pPr>
        <w:pStyle w:val="1008"/>
        <w:jc w:val="center"/>
        <w:rPr>
          <w:rFonts w:hint="eastAsia" w:ascii="宋体" w:hAnsi="宋体"/>
          <w:b/>
          <w:color w:val="000000"/>
          <w:sz w:val="36"/>
          <w:szCs w:val="21"/>
        </w:rPr>
      </w:pPr>
      <w:r>
        <w:rPr>
          <w:rFonts w:hint="eastAsia" w:ascii="宋体" w:hAnsi="宋体"/>
          <w:b/>
          <w:color w:val="000000"/>
          <w:sz w:val="36"/>
          <w:szCs w:val="21"/>
        </w:rPr>
      </w:r>
      <w:r/>
    </w:p>
    <w:p>
      <w:pPr>
        <w:pStyle w:val="1008"/>
        <w:jc w:val="center"/>
        <w:rPr>
          <w:rFonts w:hint="eastAsia" w:ascii="宋体" w:hAnsi="宋体"/>
          <w:b/>
          <w:color w:val="000000"/>
          <w:sz w:val="36"/>
          <w:szCs w:val="21"/>
        </w:rPr>
      </w:pPr>
      <w:r>
        <w:rPr>
          <w:rFonts w:hint="eastAsia" w:ascii="宋体" w:hAnsi="宋体"/>
          <w:b/>
          <w:color w:val="000000"/>
          <w:sz w:val="36"/>
          <w:szCs w:val="21"/>
        </w:rPr>
      </w:r>
      <w:r/>
    </w:p>
    <w:p>
      <w:pPr>
        <w:pStyle w:val="1008"/>
        <w:jc w:val="center"/>
        <w:rPr>
          <w:rFonts w:hint="eastAsia" w:ascii="宋体" w:hAnsi="宋体"/>
          <w:b/>
          <w:color w:val="000000"/>
          <w:sz w:val="36"/>
          <w:szCs w:val="21"/>
        </w:rPr>
      </w:pPr>
      <w:r>
        <w:rPr>
          <w:rFonts w:hint="eastAsia" w:ascii="宋体" w:hAnsi="宋体"/>
          <w:b/>
          <w:color w:val="000000"/>
          <w:sz w:val="36"/>
          <w:szCs w:val="21"/>
        </w:rPr>
      </w:r>
      <w:r/>
    </w:p>
    <w:p>
      <w:pPr>
        <w:pStyle w:val="1008"/>
        <w:rPr>
          <w:rFonts w:hint="eastAsia" w:ascii="宋体" w:hAnsi="宋体"/>
          <w:b/>
          <w:color w:val="000000"/>
          <w:sz w:val="36"/>
          <w:szCs w:val="21"/>
        </w:rPr>
      </w:pPr>
      <w:r>
        <w:rPr>
          <w:rFonts w:hint="eastAsia" w:ascii="宋体" w:hAnsi="宋体"/>
          <w:b/>
          <w:color w:val="000000"/>
          <w:sz w:val="36"/>
          <w:szCs w:val="21"/>
        </w:rPr>
      </w:r>
      <w:r/>
    </w:p>
    <w:p>
      <w:pPr>
        <w:pStyle w:val="1008"/>
        <w:jc w:val="center"/>
        <w:rPr>
          <w:rFonts w:hint="eastAsia" w:ascii="宋体" w:hAnsi="宋体"/>
          <w:b/>
          <w:color w:val="000000"/>
          <w:sz w:val="36"/>
        </w:rPr>
      </w:pPr>
      <w:r>
        <w:rPr>
          <w:rFonts w:hint="eastAsia" w:ascii="宋体" w:hAnsi="宋体"/>
          <w:b/>
          <w:color w:val="000000"/>
          <w:sz w:val="36"/>
        </w:rPr>
      </w:r>
      <w:r/>
    </w:p>
    <w:p>
      <w:pPr>
        <w:pStyle w:val="1008"/>
        <w:jc w:val="center"/>
        <w:spacing w:line="480" w:lineRule="auto"/>
        <w:rPr>
          <w:rFonts w:hint="eastAsia" w:ascii="宋体" w:hAnsi="宋体"/>
          <w:b/>
          <w:color w:val="000000"/>
          <w:sz w:val="36"/>
        </w:rPr>
      </w:pPr>
      <w:r>
        <w:rPr>
          <w:rFonts w:hint="eastAsia" w:ascii="宋体" w:hAnsi="宋体"/>
          <w:b/>
          <w:color w:val="000000"/>
          <w:sz w:val="36"/>
        </w:rPr>
      </w:r>
      <w:r/>
    </w:p>
    <w:p>
      <w:pPr>
        <w:pStyle w:val="1008"/>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1008"/>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1008"/>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1008"/>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1008"/>
        <w:ind w:firstLine="1084"/>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b/>
          <w:color w:val="000000"/>
          <w:sz w:val="36"/>
        </w:rPr>
      </w:r>
      <w:r/>
    </w:p>
    <w:p>
      <w:pPr>
        <w:pStyle w:val="1008"/>
        <w:jc w:val="center"/>
        <w:keepLines w:val="0"/>
        <w:keepNext w:val="0"/>
        <w:pageBreakBefore w:val="0"/>
        <w:spacing w:before="200" w:after="200" w:line="360" w:lineRule="auto"/>
        <w:widowControl w:val="off"/>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0"/>
          <w:szCs w:val="30"/>
        </w:rPr>
        <w:t xml:space="preserve">磋商主要文件目录</w:t>
      </w:r>
      <w:r>
        <w:rPr>
          <w:rFonts w:hint="eastAsia" w:ascii="宋体" w:hAnsi="宋体"/>
          <w:b/>
          <w:bCs/>
          <w:color w:val="000000"/>
          <w:sz w:val="32"/>
          <w:szCs w:val="32"/>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一、资格审查响应对照表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二、符合性审查响应对照表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三、非实质性响应对照表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四、</w:t>
      </w:r>
      <w:r>
        <w:rPr>
          <w:rFonts w:hint="eastAsia"/>
          <w:color w:val="000000"/>
        </w:rPr>
        <w:t xml:space="preserve">磋商响应报价表</w:t>
      </w:r>
      <w:r>
        <w:rPr>
          <w:rFonts w:ascii="宋体" w:hAnsi="宋体"/>
          <w:bCs/>
          <w:color w:val="000000"/>
          <w:szCs w:val="21"/>
        </w:rPr>
      </w:r>
      <w:r/>
    </w:p>
    <w:p>
      <w:pPr>
        <w:pStyle w:val="1008"/>
        <w:ind w:firstLine="420"/>
        <w:spacing w:line="360" w:lineRule="auto"/>
        <w:rPr>
          <w:rFonts w:hint="eastAsia"/>
          <w:color w:val="000000"/>
        </w:rPr>
      </w:pPr>
      <w:r>
        <w:rPr>
          <w:rFonts w:hint="eastAsia" w:ascii="宋体" w:hAnsi="宋体"/>
          <w:bCs/>
          <w:color w:val="000000"/>
          <w:szCs w:val="21"/>
        </w:rPr>
        <w:t xml:space="preserve">五、</w:t>
      </w:r>
      <w:r>
        <w:rPr>
          <w:rFonts w:hint="eastAsia"/>
          <w:color w:val="000000"/>
        </w:rPr>
        <w:t xml:space="preserve">技术参数响应及偏离表</w:t>
      </w:r>
      <w:r>
        <w:rPr>
          <w:rFonts w:hint="eastAsia"/>
          <w:color w:val="000000"/>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六、商务条款响应及偏离表</w:t>
      </w:r>
      <w:r>
        <w:rPr>
          <w:rFonts w:ascii="宋体" w:hAnsi="宋体"/>
          <w:bCs/>
          <w:color w:val="000000"/>
          <w:szCs w:val="21"/>
        </w:rPr>
      </w:r>
      <w:r/>
    </w:p>
    <w:p>
      <w:pPr>
        <w:pStyle w:val="1008"/>
        <w:ind w:firstLine="420"/>
        <w:spacing w:line="360" w:lineRule="auto"/>
        <w:rPr>
          <w:rFonts w:hint="eastAsia" w:ascii="宋体" w:hAnsi="宋体"/>
          <w:color w:val="000000"/>
          <w:sz w:val="24"/>
        </w:rPr>
      </w:pPr>
      <w:r>
        <w:rPr>
          <w:rFonts w:hint="eastAsia" w:ascii="宋体" w:hAnsi="宋体"/>
          <w:bCs/>
          <w:color w:val="000000"/>
          <w:szCs w:val="21"/>
        </w:rPr>
        <w:t xml:space="preserve">七、其他 （投标人认为有必要提供的声明和文件，如有自拟并自行添加）</w:t>
      </w:r>
      <w:r>
        <w:rPr>
          <w:rFonts w:hint="eastAsia" w:ascii="宋体" w:hAnsi="宋体"/>
          <w:color w:val="000000"/>
          <w:sz w:val="24"/>
        </w:rPr>
      </w:r>
      <w:r/>
    </w:p>
    <w:p>
      <w:pPr>
        <w:pStyle w:val="1008"/>
      </w:pPr>
      <w:r/>
      <w:r/>
    </w:p>
    <w:p>
      <w:pPr>
        <w:pStyle w:val="1008"/>
        <w:contextualSpacing/>
        <w:jc w:val="center"/>
        <w:rPr>
          <w:rFonts w:ascii="宋体" w:hAnsi="宋体"/>
          <w:b/>
          <w:color w:val="000000"/>
          <w:sz w:val="72"/>
        </w:rPr>
      </w:pPr>
      <w:r>
        <w:rPr>
          <w:rFonts w:ascii="宋体" w:hAnsi="宋体"/>
          <w:b/>
          <w:color w:val="000000"/>
          <w:sz w:val="72"/>
        </w:rPr>
      </w:r>
      <w:r/>
    </w:p>
    <w:p>
      <w:pPr>
        <w:pStyle w:val="1008"/>
        <w:contextualSpacing/>
        <w:jc w:val="center"/>
        <w:spacing w:line="600" w:lineRule="exact"/>
        <w:rPr>
          <w:rFonts w:ascii="宋体" w:hAnsi="宋体"/>
          <w:b/>
          <w:color w:val="000000"/>
          <w:sz w:val="72"/>
        </w:rPr>
      </w:pPr>
      <w:r>
        <w:rPr>
          <w:rFonts w:ascii="宋体" w:hAnsi="宋体"/>
          <w:b/>
          <w:color w:val="000000"/>
          <w:sz w:val="72"/>
        </w:rPr>
      </w:r>
      <w:r/>
    </w:p>
    <w:p>
      <w:pPr>
        <w:pStyle w:val="1008"/>
        <w:contextualSpacing/>
        <w:jc w:val="center"/>
        <w:spacing w:line="600" w:lineRule="exact"/>
        <w:rPr>
          <w:rFonts w:ascii="宋体" w:hAnsi="宋体"/>
          <w:b/>
          <w:color w:val="000000"/>
          <w:sz w:val="72"/>
        </w:rPr>
      </w:pPr>
      <w:r>
        <w:rPr>
          <w:rFonts w:ascii="宋体" w:hAnsi="宋体"/>
          <w:b/>
          <w:color w:val="000000"/>
          <w:sz w:val="72"/>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hint="eastAsia" w:ascii="宋体" w:hAnsi="宋体"/>
          <w:b/>
          <w:color w:val="000000"/>
          <w:sz w:val="36"/>
        </w:rPr>
      </w:pPr>
      <w:r>
        <w:rPr>
          <w:rFonts w:hint="eastAsia" w:ascii="宋体" w:hAnsi="宋体"/>
          <w:b/>
          <w:color w:val="000000"/>
          <w:sz w:val="36"/>
        </w:rPr>
      </w:r>
      <w:r/>
    </w:p>
    <w:p>
      <w:pPr>
        <w:pStyle w:val="1059"/>
        <w:rPr>
          <w:rFonts w:hint="eastAsia"/>
          <w:color w:val="000000"/>
        </w:rPr>
      </w:pPr>
      <w:r>
        <w:rPr>
          <w:rFonts w:hint="eastAsia"/>
          <w:color w:val="000000"/>
        </w:rPr>
      </w:r>
      <w:r/>
    </w:p>
    <w:p>
      <w:pPr>
        <w:pStyle w:val="1060"/>
        <w:rPr>
          <w:rFonts w:hint="eastAsia"/>
          <w:color w:val="000000"/>
          <w:lang w:eastAsia="zh-CN"/>
        </w:rPr>
      </w:pPr>
      <w:r>
        <w:rPr>
          <w:rFonts w:hint="eastAsia"/>
          <w:color w:val="000000"/>
          <w:lang w:eastAsia="zh-CN"/>
        </w:rPr>
      </w:r>
      <w:r/>
    </w:p>
    <w:p>
      <w:pPr>
        <w:pStyle w:val="1060"/>
      </w:pPr>
      <w:r/>
      <w:r/>
    </w:p>
    <w:p>
      <w:pPr>
        <w:pStyle w:val="1008"/>
        <w:rPr>
          <w:rFonts w:hint="eastAsia" w:ascii="宋体" w:hAnsi="宋体"/>
          <w:b/>
          <w:color w:val="000000"/>
          <w:sz w:val="32"/>
          <w:szCs w:val="32"/>
        </w:rPr>
      </w:pPr>
      <w:r>
        <w:rPr>
          <w:rFonts w:hint="eastAsia" w:ascii="宋体" w:hAnsi="宋体"/>
          <w:b/>
          <w:color w:val="000000"/>
          <w:sz w:val="32"/>
          <w:szCs w:val="32"/>
        </w:rPr>
      </w:r>
      <w:r/>
    </w:p>
    <w:p>
      <w:pPr>
        <w:pStyle w:val="1008"/>
        <w:jc w:val="center"/>
        <w:rPr>
          <w:rFonts w:hint="eastAsia" w:ascii="宋体" w:hAnsi="宋体"/>
          <w:b/>
          <w:color w:val="000000"/>
          <w:sz w:val="32"/>
          <w:szCs w:val="32"/>
        </w:rPr>
      </w:pPr>
      <w:r>
        <w:rPr>
          <w:rFonts w:hint="eastAsia" w:ascii="宋体" w:hAnsi="宋体"/>
          <w:b/>
          <w:color w:val="000000"/>
          <w:sz w:val="32"/>
          <w:szCs w:val="32"/>
        </w:rPr>
      </w:r>
      <w:r/>
    </w:p>
    <w:p>
      <w:pPr>
        <w:pStyle w:val="1008"/>
        <w:jc w:val="center"/>
        <w:keepLines w:val="0"/>
        <w:keepNext w:val="0"/>
        <w:pageBreakBefore w:val="0"/>
        <w:spacing w:before="200" w:after="200"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lang w:val="en-US" w:eastAsia="zh-CN"/>
        </w:rPr>
        <w:t xml:space="preserve">一、</w:t>
      </w:r>
      <w:r>
        <w:rPr>
          <w:rFonts w:hint="eastAsia" w:ascii="宋体" w:hAnsi="宋体" w:eastAsia="宋体" w:cs="Times New Roman"/>
          <w:b/>
          <w:color w:val="000000"/>
          <w:sz w:val="30"/>
          <w:szCs w:val="30"/>
        </w:rPr>
        <w:t xml:space="preserve">资格审查响应对照表</w:t>
      </w:r>
      <w:r>
        <w:rPr>
          <w:rFonts w:hint="eastAsia" w:ascii="宋体" w:hAnsi="宋体" w:eastAsia="宋体" w:cs="Times New Roman"/>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100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100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100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00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1008"/>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1008"/>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1008"/>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158" w:type="dxa"/>
            <w:vAlign w:val="center"/>
            <w:textDirection w:val="lrTb"/>
            <w:noWrap w:val="false"/>
          </w:tcPr>
          <w:p>
            <w:pPr>
              <w:pStyle w:val="100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hint="eastAsia"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上一年度的财务报告情况</w:t>
            </w:r>
            <w:r>
              <w:rPr>
                <w:rFonts w:hint="eastAsia" w:ascii="宋体" w:hAnsi="宋体" w:cs="宋体"/>
                <w:b/>
                <w:bCs/>
                <w:color w:val="000000"/>
                <w:szCs w:val="21"/>
                <w:highlight w:val="none"/>
              </w:rPr>
              <w:t xml:space="preserve">（成立不满一年不需提供）</w:t>
            </w:r>
            <w:r>
              <w:rPr>
                <w:rFonts w:hint="eastAsia"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1008"/>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iCs/>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447" w:type="dxa"/>
            <w:vAlign w:val="center"/>
            <w:textDirection w:val="lrTb"/>
            <w:noWrap w:val="false"/>
          </w:tcPr>
          <w:p>
            <w:pPr>
              <w:pStyle w:val="1008"/>
              <w:rPr>
                <w:rFonts w:hint="eastAsia"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rPr>
                <w:rFonts w:hint="eastAsia" w:ascii="宋体" w:hAnsi="宋体"/>
                <w:iCs/>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447"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highlight w:val="none"/>
              </w:rPr>
              <w:t xml:space="preserve">（提供网页截图）</w:t>
            </w:r>
            <w:r>
              <w:rPr>
                <w:rFonts w:hint="eastAsia"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59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447" w:type="dxa"/>
            <w:vAlign w:val="center"/>
            <w:textDirection w:val="lrTb"/>
            <w:noWrap w:val="false"/>
          </w:tcPr>
          <w:p>
            <w:pPr>
              <w:pStyle w:val="1008"/>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1008"/>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5447" w:type="dxa"/>
            <w:vAlign w:val="center"/>
            <w:textDirection w:val="lrTb"/>
            <w:noWrap w:val="false"/>
          </w:tcPr>
          <w:p>
            <w:pPr>
              <w:pStyle w:val="1008"/>
              <w:rPr>
                <w:rFonts w:hint="eastAsia" w:eastAsia="宋体"/>
                <w:color w:val="000000"/>
                <w:highlight w:val="none"/>
                <w:lang w:eastAsia="zh-CN"/>
              </w:rPr>
            </w:pPr>
            <w:r>
              <w:rPr>
                <w:rFonts w:hint="eastAsia" w:eastAsia="宋体"/>
                <w:color w:val="000000"/>
                <w:highlight w:val="none"/>
                <w:lang w:eastAsia="zh-CN"/>
              </w:rPr>
              <w:t xml:space="preserve">根据《政府采购促进中小企业发展管理办法》的规定，本项目专门面向中小企业采购，供应商提交响应文件时须提供《中小企业声明函》，《中小企业声明函》不符合要求或未提供的，响应文件无效。</w:t>
            </w:r>
            <w:r>
              <w:rPr>
                <w:rFonts w:hint="eastAsia" w:eastAsia="宋体"/>
                <w:color w:val="000000"/>
                <w:highlight w:val="none"/>
                <w:lang w:eastAsia="zh-CN"/>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1008"/>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5447" w:type="dxa"/>
            <w:vAlign w:val="center"/>
            <w:textDirection w:val="lrTb"/>
            <w:noWrap w:val="false"/>
          </w:tcPr>
          <w:p>
            <w:pPr>
              <w:pStyle w:val="1008"/>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无</w:t>
            </w:r>
            <w:r>
              <w:rPr>
                <w:rFonts w:hint="eastAsia" w:ascii="宋体" w:hAnsi="宋体" w:eastAsia="宋体" w:cs="宋体"/>
                <w:color w:val="000000"/>
                <w:szCs w:val="21"/>
                <w:highlight w:val="none"/>
                <w:lang w:eastAsia="zh-CN"/>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1008"/>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447" w:type="dxa"/>
            <w:vAlign w:val="center"/>
            <w:textDirection w:val="lrTb"/>
            <w:noWrap w:val="false"/>
          </w:tcPr>
          <w:p>
            <w:pPr>
              <w:pStyle w:val="1008"/>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W w:w="5447" w:type="dxa"/>
            <w:vAlign w:val="center"/>
            <w:textDirection w:val="lrTb"/>
            <w:noWrap w:val="false"/>
          </w:tcPr>
          <w:p>
            <w:pPr>
              <w:pStyle w:val="1008"/>
              <w:jc w:val="left"/>
              <w:spacing w:line="0" w:lineRule="atLeast"/>
              <w:rPr>
                <w:rFonts w:hint="eastAsia" w:ascii="宋体" w:hAnsi="宋体"/>
                <w:iCs/>
                <w:color w:val="000000"/>
                <w:szCs w:val="21"/>
                <w:highlight w:val="none"/>
              </w:rPr>
            </w:pPr>
            <w:r>
              <w:rPr>
                <w:rFonts w:hint="eastAsia" w:ascii="宋体" w:hAnsi="宋体"/>
                <w:iCs/>
                <w:color w:val="000000"/>
                <w:szCs w:val="21"/>
                <w:highlight w:val="none"/>
              </w:rPr>
              <w:t xml:space="preserve">授权委托书</w:t>
            </w:r>
            <w:r>
              <w:rPr>
                <w:rFonts w:hint="eastAsia" w:ascii="宋体" w:hAnsi="宋体"/>
                <w:iCs/>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bl>
    <w:p>
      <w:pPr>
        <w:pStyle w:val="1008"/>
        <w:jc w:val="center"/>
        <w:spacing w:before="156" w:after="156" w:line="360" w:lineRule="auto"/>
        <w:rPr>
          <w:rFonts w:ascii="宋体" w:hAnsi="宋体"/>
          <w:b/>
          <w:bCs/>
          <w:color w:val="000000"/>
          <w:highlight w:val="cyan"/>
        </w:rPr>
      </w:pPr>
      <w:r>
        <w:rPr>
          <w:rFonts w:hint="eastAsia" w:ascii="宋体" w:hAnsi="宋体"/>
          <w:b/>
          <w:bCs/>
          <w:color w:val="000000"/>
        </w:rPr>
        <w:br w:type="page" w:clear="all"/>
      </w: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cyan"/>
        </w:rPr>
      </w:r>
      <w:r/>
    </w:p>
    <w:p>
      <w:pPr>
        <w:pStyle w:val="1008"/>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1008"/>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1008"/>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1008"/>
        <w:spacing w:line="360" w:lineRule="auto"/>
        <w:rPr>
          <w:rFonts w:ascii="宋体" w:hAnsi="宋体"/>
          <w:color w:val="000000"/>
        </w:rPr>
      </w:pPr>
      <w:r>
        <w:rPr>
          <w:rFonts w:ascii="宋体" w:hAnsi="宋体"/>
          <w:color w:val="000000"/>
        </w:rPr>
      </w:r>
      <w:r/>
    </w:p>
    <w:p>
      <w:pPr>
        <w:pStyle w:val="1008"/>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1008"/>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1008"/>
        <w:spacing w:line="360" w:lineRule="auto"/>
        <w:rPr>
          <w:rFonts w:hint="eastAsia" w:ascii="宋体" w:hAnsi="宋体"/>
          <w:bCs/>
          <w:color w:val="000000"/>
        </w:rPr>
      </w:pPr>
      <w:r>
        <w:rPr>
          <w:rFonts w:hint="eastAsia" w:ascii="宋体" w:hAnsi="宋体"/>
          <w:bCs/>
          <w:color w:val="000000"/>
        </w:rPr>
        <w:t xml:space="preserve">                              </w:t>
      </w:r>
      <w:r>
        <w:rPr>
          <w:rFonts w:hint="eastAsia" w:ascii="宋体" w:hAnsi="宋体"/>
          <w:bCs/>
          <w:color w:val="000000"/>
        </w:rPr>
      </w:r>
      <w:r/>
    </w:p>
    <w:p>
      <w:pPr>
        <w:pStyle w:val="1008"/>
        <w:spacing w:line="360" w:lineRule="auto"/>
        <w:rPr>
          <w:rFonts w:hint="eastAsia" w:ascii="宋体" w:hAnsi="宋体"/>
          <w:bCs/>
          <w:color w:val="000000"/>
        </w:rPr>
      </w:pPr>
      <w:r>
        <w:rPr>
          <w:rFonts w:hint="eastAsia" w:ascii="宋体" w:hAnsi="宋体"/>
          <w:bCs/>
          <w:color w:val="000000"/>
        </w:rPr>
      </w:r>
      <w:r/>
    </w:p>
    <w:p>
      <w:pPr>
        <w:pStyle w:val="1008"/>
        <w:ind w:firstLine="3150"/>
        <w:spacing w:line="360" w:lineRule="auto"/>
        <w:rPr>
          <w:rFonts w:ascii="宋体" w:hAnsi="宋体"/>
          <w:bCs/>
          <w:color w:val="000000"/>
        </w:rPr>
      </w:pPr>
      <w:r>
        <w:rPr>
          <w:rFonts w:hint="eastAsia" w:ascii="宋体" w:hAnsi="宋体"/>
          <w:bCs/>
          <w:color w:val="000000"/>
        </w:rPr>
        <w:t xml:space="preserve"> 供应商名称（公章）：</w:t>
      </w:r>
      <w:r>
        <w:rPr>
          <w:rFonts w:ascii="宋体" w:hAnsi="宋体"/>
          <w:bCs/>
          <w:color w:val="000000"/>
        </w:rPr>
      </w:r>
      <w:r/>
    </w:p>
    <w:p>
      <w:pPr>
        <w:pStyle w:val="1008"/>
        <w:spacing w:line="360" w:lineRule="auto"/>
        <w:rPr>
          <w:rFonts w:hint="eastAsia" w:ascii="宋体" w:hAnsi="宋体"/>
          <w:bCs/>
          <w:color w:val="000000"/>
        </w:rPr>
      </w:pPr>
      <w:r>
        <w:rPr>
          <w:rFonts w:hint="eastAsia" w:ascii="宋体" w:hAnsi="宋体"/>
          <w:bCs/>
          <w:color w:val="000000"/>
        </w:rPr>
        <w:t xml:space="preserve">                               法定代表人签章：_______________________</w:t>
      </w:r>
      <w:r>
        <w:rPr>
          <w:rFonts w:hint="eastAsia" w:ascii="宋体" w:hAnsi="宋体"/>
          <w:bCs/>
          <w:color w:val="000000"/>
        </w:rPr>
      </w:r>
      <w:r/>
    </w:p>
    <w:p>
      <w:pPr>
        <w:pStyle w:val="1008"/>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both"/>
        <w:spacing w:line="360" w:lineRule="auto"/>
        <w:rPr>
          <w:rFonts w:hint="eastAsia" w:ascii="宋体" w:hAnsi="宋体"/>
          <w:b/>
          <w:bCs/>
          <w:color w:val="000000"/>
        </w:rPr>
        <w:sectPr>
          <w:headerReference w:type="default" r:id="rId10"/>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000000"/>
        </w:rPr>
      </w:r>
      <w:r/>
    </w:p>
    <w:p>
      <w:pPr>
        <w:pStyle w:val="1008"/>
        <w:jc w:val="center"/>
        <w:spacing w:line="500" w:lineRule="exact"/>
        <w:rPr>
          <w:rFonts w:hint="eastAsia" w:ascii="宋体" w:hAnsi="宋体" w:cs="宋体"/>
          <w:color w:val="000000"/>
          <w:szCs w:val="21"/>
        </w:rPr>
      </w:pPr>
      <w:r>
        <w:rPr>
          <w:rFonts w:hint="eastAsia" w:ascii="宋体" w:hAnsi="宋体" w:cs="宋体"/>
          <w:b/>
          <w:bCs/>
          <w:color w:val="000000"/>
          <w:szCs w:val="21"/>
        </w:rPr>
        <w:t xml:space="preserve">供应商信用承诺书</w:t>
      </w:r>
      <w:r>
        <w:rPr>
          <w:rFonts w:hint="eastAsia" w:ascii="宋体" w:hAnsi="宋体" w:cs="宋体"/>
          <w:color w:val="000000"/>
          <w:szCs w:val="21"/>
        </w:rPr>
      </w:r>
      <w:r/>
    </w:p>
    <w:p>
      <w:pPr>
        <w:pStyle w:val="1008"/>
        <w:spacing w:line="360" w:lineRule="auto"/>
        <w:rPr>
          <w:rFonts w:ascii="宋体" w:hAnsi="宋体" w:cs="宋体"/>
          <w:color w:val="000000"/>
          <w:szCs w:val="21"/>
          <w:u w:val="single"/>
        </w:rPr>
      </w:pPr>
      <w:r>
        <w:rPr>
          <w:rFonts w:hint="eastAsia" w:ascii="宋体" w:hAnsi="宋体" w:cs="宋体"/>
          <w:color w:val="000000"/>
          <w:szCs w:val="21"/>
        </w:rPr>
        <w:t xml:space="preserve">承诺主体名称：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08"/>
        <w:spacing w:line="360" w:lineRule="auto"/>
        <w:rPr>
          <w:rFonts w:ascii="宋体" w:hAnsi="宋体" w:cs="宋体"/>
          <w:color w:val="000000"/>
          <w:szCs w:val="21"/>
          <w:u w:val="single"/>
        </w:rPr>
      </w:pPr>
      <w:r>
        <w:rPr>
          <w:rFonts w:hint="eastAsia" w:ascii="宋体" w:hAnsi="宋体" w:cs="宋体"/>
          <w:color w:val="000000"/>
          <w:szCs w:val="21"/>
        </w:rPr>
        <w:t xml:space="preserve">统一社会信用代码：</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1008"/>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1008"/>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1008"/>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1008"/>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1008"/>
        <w:jc w:val="center"/>
        <w:spacing w:line="360" w:lineRule="auto"/>
        <w:rPr>
          <w:rFonts w:hint="eastAsia" w:ascii="宋体" w:hAnsi="宋体"/>
          <w:b/>
          <w:color w:val="000000"/>
        </w:rPr>
      </w:pPr>
      <w:r>
        <w:rPr>
          <w:rFonts w:hint="eastAsia" w:ascii="宋体" w:hAnsi="宋体"/>
          <w:b/>
          <w:color w:val="000000"/>
        </w:rPr>
        <w:t xml:space="preserve">磋商响应函</w:t>
      </w:r>
      <w:r>
        <w:rPr>
          <w:rFonts w:hint="eastAsia" w:ascii="宋体" w:hAnsi="宋体"/>
          <w:b/>
          <w:color w:val="000000"/>
        </w:rPr>
      </w:r>
      <w:r/>
    </w:p>
    <w:p>
      <w:pPr>
        <w:pStyle w:val="1074"/>
        <w:ind w:left="0" w:firstLine="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法定代表人（签章）：     联系电话：</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供应商名称（公章）：            </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1008"/>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08"/>
        <w:jc w:val="center"/>
        <w:rPr>
          <w:rFonts w:hint="eastAsia" w:ascii="宋体" w:hAnsi="宋体"/>
          <w:b/>
          <w:color w:val="000000"/>
          <w:sz w:val="32"/>
          <w:szCs w:val="32"/>
        </w:rPr>
      </w:pPr>
      <w:r>
        <w:rPr>
          <w:rFonts w:hint="eastAsia" w:ascii="宋体" w:hAnsi="宋体"/>
          <w:b/>
          <w:color w:val="000000"/>
          <w:sz w:val="32"/>
          <w:szCs w:val="32"/>
        </w:rPr>
      </w:r>
      <w:r/>
    </w:p>
    <w:p>
      <w:pPr>
        <w:pStyle w:val="1008"/>
        <w:jc w:val="both"/>
        <w:rPr>
          <w:rFonts w:hint="eastAsia" w:ascii="宋体" w:hAnsi="宋体"/>
          <w:b/>
          <w:color w:val="000000"/>
          <w:sz w:val="32"/>
          <w:szCs w:val="32"/>
        </w:rPr>
      </w:pPr>
      <w:r>
        <w:rPr>
          <w:rFonts w:hint="eastAsia" w:ascii="宋体" w:hAnsi="宋体"/>
          <w:b/>
          <w:color w:val="000000"/>
          <w:sz w:val="32"/>
          <w:szCs w:val="32"/>
        </w:rPr>
      </w:r>
      <w:r/>
    </w:p>
    <w:p>
      <w:pPr>
        <w:pStyle w:val="1074"/>
        <w:ind w:firstLine="422"/>
        <w:jc w:val="center"/>
        <w:spacing w:after="312" w:line="360" w:lineRule="auto"/>
        <w:tabs>
          <w:tab w:val="left" w:pos="360" w:leader="none"/>
        </w:tabs>
        <w:rPr>
          <w:rFonts w:hint="eastAsia" w:ascii="宋体" w:hAnsi="宋体"/>
          <w:b/>
          <w:color w:val="000000"/>
          <w:sz w:val="21"/>
          <w:szCs w:val="21"/>
        </w:rPr>
      </w:pPr>
      <w:r>
        <w:rPr>
          <w:rFonts w:hint="eastAsia" w:ascii="宋体" w:hAnsi="宋体"/>
          <w:b/>
          <w:color w:val="000000"/>
          <w:sz w:val="21"/>
          <w:szCs w:val="21"/>
        </w:rPr>
      </w:r>
      <w:r/>
    </w:p>
    <w:p>
      <w:pPr>
        <w:pStyle w:val="1074"/>
        <w:ind w:firstLine="422"/>
        <w:jc w:val="center"/>
        <w:spacing w:after="312"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107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w:t>
      </w:r>
      <w:r>
        <w:rPr>
          <w:rFonts w:hint="eastAsia" w:ascii="宋体" w:hAnsi="宋体"/>
          <w:color w:val="000000"/>
          <w:sz w:val="21"/>
          <w:szCs w:val="21"/>
        </w:rPr>
        <w:t xml:space="preserve">（被授权人的姓名）为我方就（项目编号）</w:t>
      </w:r>
      <w:r>
        <w:rPr>
          <w:rFonts w:hint="eastAsia" w:ascii="宋体" w:hAnsi="宋体"/>
          <w:color w:val="000000"/>
          <w:sz w:val="21"/>
          <w:szCs w:val="21"/>
          <w:u w:val="single"/>
          <w:lang w:val="en-US" w:eastAsia="zh-CN"/>
        </w:rPr>
        <w:t xml:space="preserve">        </w:t>
      </w:r>
      <w:r>
        <w:rPr>
          <w:rFonts w:hint="eastAsia" w:ascii="宋体" w:hAnsi="宋体"/>
          <w:color w:val="000000"/>
          <w:sz w:val="21"/>
          <w:szCs w:val="21"/>
        </w:rPr>
        <w:t xml:space="preserve">号（项目名称）</w:t>
      </w:r>
      <w:r>
        <w:rPr>
          <w:rFonts w:hint="eastAsia" w:ascii="宋体" w:hAnsi="宋体"/>
          <w:color w:val="000000"/>
          <w:sz w:val="21"/>
          <w:szCs w:val="21"/>
          <w:u w:val="single"/>
          <w:lang w:val="en-US" w:eastAsia="zh-CN"/>
        </w:rPr>
        <w:t xml:space="preserve">            </w:t>
      </w:r>
      <w:r>
        <w:rPr>
          <w:rFonts w:hint="eastAsia" w:ascii="宋体" w:hAnsi="宋体"/>
          <w:color w:val="000000"/>
          <w:sz w:val="21"/>
          <w:szCs w:val="21"/>
        </w:rPr>
        <w:t xml:space="preserve">项目采购活动的合法代理人，以本公司名义全权处理一切与该项目采购有关的事务。</w:t>
      </w:r>
      <w:r>
        <w:rPr>
          <w:rFonts w:ascii="宋体" w:hAnsi="宋体"/>
          <w:color w:val="000000"/>
          <w:sz w:val="21"/>
          <w:szCs w:val="21"/>
        </w:rPr>
      </w:r>
      <w:r/>
    </w:p>
    <w:p>
      <w:pPr>
        <w:pStyle w:val="107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074"/>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u w:val="single"/>
        </w:rPr>
      </w:r>
      <w:r/>
    </w:p>
    <w:p>
      <w:pPr>
        <w:pStyle w:val="1074"/>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074"/>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ascii="宋体" w:hAnsi="宋体"/>
          <w:color w:val="000000"/>
          <w:sz w:val="21"/>
          <w:szCs w:val="21"/>
        </w:rPr>
      </w:r>
      <w:r/>
    </w:p>
    <w:p>
      <w:pPr>
        <w:pStyle w:val="1074"/>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1074"/>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1008"/>
        <w:spacing w:line="460" w:lineRule="exact"/>
        <w:rPr>
          <w:rFonts w:ascii="宋体" w:hAnsi="宋体"/>
          <w:bCs/>
          <w:color w:val="000000"/>
        </w:rPr>
      </w:pPr>
      <w:r>
        <w:rPr>
          <w:rFonts w:ascii="宋体" w:hAnsi="宋体"/>
          <w:bCs/>
          <w:color w:val="000000"/>
        </w:rPr>
      </w:r>
      <w:r/>
    </w:p>
    <w:p>
      <w:pPr>
        <w:pStyle w:val="1008"/>
        <w:spacing w:line="460" w:lineRule="exact"/>
        <w:rPr>
          <w:rFonts w:ascii="宋体" w:hAnsi="宋体"/>
          <w:bCs/>
          <w:color w:val="000000"/>
          <w:sz w:val="24"/>
        </w:rPr>
      </w:pPr>
      <w:r>
        <w:rPr>
          <w:rFonts w:ascii="宋体" w:hAnsi="宋体"/>
          <w:bCs/>
          <w:color w:val="000000"/>
          <w:sz w:val="24"/>
        </w:rPr>
      </w:r>
      <w:r/>
    </w:p>
    <w:p>
      <w:pPr>
        <w:pStyle w:val="1008"/>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hint="eastAsia" w:ascii="宋体" w:hAnsi="宋体"/>
          <w:bCs/>
          <w:color w:val="000000"/>
        </w:rPr>
      </w:r>
      <w:r/>
    </w:p>
    <w:p>
      <w:pPr>
        <w:pStyle w:val="1008"/>
        <w:jc w:val="center"/>
        <w:keepLines w:val="0"/>
        <w:keepNext w:val="0"/>
        <w:pageBreakBefore w:val="0"/>
        <w:spacing w:before="200" w:after="200" w:line="360" w:lineRule="auto"/>
        <w:widowControl w:val="off"/>
        <w:rPr>
          <w:rFonts w:hint="eastAsia" w:ascii="宋体" w:hAnsi="宋体"/>
          <w:b/>
          <w:color w:val="000000"/>
          <w:sz w:val="30"/>
          <w:szCs w:val="30"/>
        </w:rPr>
      </w:pPr>
      <w:r>
        <w:rPr>
          <w:rFonts w:hint="eastAsia" w:ascii="宋体" w:hAnsi="宋体"/>
          <w:b/>
          <w:color w:val="000000"/>
          <w:sz w:val="30"/>
          <w:szCs w:val="30"/>
          <w:lang w:val="en-US" w:eastAsia="zh-CN" w:bidi="ar-SA"/>
        </w:rPr>
        <w:t xml:space="preserve">二、</w:t>
      </w:r>
      <w:r>
        <w:rPr>
          <w:rFonts w:hint="eastAsia" w:ascii="宋体" w:hAnsi="宋体"/>
          <w:b/>
          <w:color w:val="000000"/>
          <w:sz w:val="30"/>
          <w:szCs w:val="30"/>
        </w:rPr>
        <w:t xml:space="preserve">符合性审查响应对照表</w:t>
      </w:r>
      <w:r>
        <w:rPr>
          <w:rFonts w:hint="eastAsia" w:ascii="宋体" w:hAnsi="宋体"/>
          <w:b/>
          <w:color w:val="000000"/>
          <w:sz w:val="30"/>
          <w:szCs w:val="30"/>
        </w:rPr>
      </w:r>
      <w:r/>
    </w:p>
    <w:tbl>
      <w:tblPr>
        <w:tblW w:w="8691"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73"/>
        <w:gridCol w:w="1668"/>
        <w:gridCol w:w="1404"/>
      </w:tblGrid>
      <w:tr>
        <w:trPr>
          <w:trHeight w:val="882"/>
        </w:trPr>
        <w:tc>
          <w:tcPr>
            <w:tcW w:w="646"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4973"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1668"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404"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1008"/>
              <w:jc w:val="center"/>
              <w:rPr>
                <w:rFonts w:ascii="宋体" w:hAnsi="宋体"/>
                <w:b/>
                <w:color w:val="000000"/>
                <w:szCs w:val="21"/>
              </w:rPr>
            </w:pPr>
            <w:r>
              <w:rPr>
                <w:rFonts w:hint="eastAsia" w:ascii="宋体" w:hAnsi="宋体"/>
                <w:b w:val="0"/>
                <w:bCs/>
                <w:color w:val="000000"/>
                <w:szCs w:val="21"/>
              </w:rPr>
              <w:t xml:space="preserve">1</w:t>
            </w:r>
            <w:r>
              <w:rPr>
                <w:rFonts w:ascii="宋体" w:hAnsi="宋体"/>
                <w:b/>
                <w:color w:val="000000"/>
                <w:szCs w:val="21"/>
              </w:rPr>
            </w:r>
            <w:r/>
          </w:p>
        </w:tc>
        <w:tc>
          <w:tcPr>
            <w:tcW w:w="4973" w:type="dxa"/>
            <w:vAlign w:val="center"/>
            <w:textDirection w:val="lrTb"/>
            <w:noWrap w:val="false"/>
          </w:tcPr>
          <w:p>
            <w:pPr>
              <w:pStyle w:val="1008"/>
              <w:spacing w:line="0" w:lineRule="atLeast"/>
              <w:rPr>
                <w:rFonts w:hint="eastAsia" w:ascii="宋体" w:hAnsi="宋体"/>
                <w:iCs/>
                <w:color w:val="000000"/>
                <w:szCs w:val="21"/>
              </w:rPr>
            </w:pPr>
            <w:r>
              <w:rPr>
                <w:rFonts w:hint="eastAsia" w:ascii="宋体" w:hAnsi="宋体"/>
                <w:iCs/>
                <w:color w:val="000000"/>
                <w:szCs w:val="21"/>
              </w:rPr>
              <w:t xml:space="preserve">第四章采购需求中必须满足的实质性要求（即加斜体下划线内容，每条详细列出）</w:t>
            </w:r>
            <w:r>
              <w:rPr>
                <w:rFonts w:hint="eastAsia" w:ascii="宋体" w:hAnsi="宋体"/>
                <w:iCs/>
                <w:color w:val="000000"/>
                <w:szCs w:val="21"/>
              </w:rPr>
            </w:r>
            <w:r/>
          </w:p>
        </w:tc>
        <w:tc>
          <w:tcPr>
            <w:tcW w:w="1668" w:type="dxa"/>
            <w:vAlign w:val="center"/>
            <w:textDirection w:val="lrTb"/>
            <w:noWrap w:val="false"/>
          </w:tcPr>
          <w:p>
            <w:pPr>
              <w:pStyle w:val="1008"/>
              <w:rPr>
                <w:rFonts w:ascii="宋体" w:hAnsi="宋体"/>
                <w:b/>
                <w:color w:val="000000"/>
                <w:szCs w:val="21"/>
              </w:rPr>
            </w:pPr>
            <w:r>
              <w:rPr>
                <w:rFonts w:ascii="宋体" w:hAnsi="宋体"/>
                <w:b/>
                <w:color w:val="000000"/>
                <w:szCs w:val="21"/>
              </w:rPr>
            </w:r>
            <w:r/>
          </w:p>
        </w:tc>
        <w:tc>
          <w:tcPr>
            <w:tcW w:w="1404" w:type="dxa"/>
            <w:vAlign w:val="center"/>
            <w:textDirection w:val="lrTb"/>
            <w:noWrap w:val="false"/>
          </w:tcPr>
          <w:p>
            <w:pPr>
              <w:pStyle w:val="1008"/>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973" w:type="dxa"/>
            <w:vAlign w:val="center"/>
            <w:textDirection w:val="lrTb"/>
            <w:noWrap w:val="false"/>
          </w:tcPr>
          <w:p>
            <w:pPr>
              <w:pStyle w:val="1008"/>
              <w:spacing w:line="0" w:lineRule="atLeast"/>
              <w:rPr>
                <w:rFonts w:ascii="宋体" w:hAnsi="宋体"/>
                <w:iCs/>
                <w:color w:val="000000"/>
                <w:szCs w:val="21"/>
              </w:rPr>
            </w:pPr>
            <w:r>
              <w:rPr>
                <w:rFonts w:ascii="宋体" w:hAnsi="宋体"/>
                <w:iCs/>
                <w:color w:val="000000"/>
                <w:szCs w:val="21"/>
              </w:rPr>
            </w:r>
            <w:r/>
          </w:p>
        </w:tc>
        <w:tc>
          <w:tcPr>
            <w:tcW w:w="166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08"/>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973" w:type="dxa"/>
            <w:vAlign w:val="center"/>
            <w:textDirection w:val="lrTb"/>
            <w:noWrap w:val="false"/>
          </w:tcPr>
          <w:p>
            <w:pPr>
              <w:pStyle w:val="1008"/>
              <w:spacing w:line="0" w:lineRule="atLeast"/>
              <w:rPr>
                <w:rFonts w:hint="eastAsia" w:ascii="宋体" w:hAnsi="宋体"/>
                <w:iCs/>
                <w:color w:val="000000"/>
                <w:szCs w:val="21"/>
              </w:rPr>
            </w:pPr>
            <w:r>
              <w:rPr>
                <w:rFonts w:hint="eastAsia" w:ascii="宋体" w:hAnsi="宋体"/>
                <w:iCs/>
                <w:color w:val="000000"/>
                <w:szCs w:val="21"/>
              </w:rPr>
            </w:r>
            <w:r/>
          </w:p>
        </w:tc>
        <w:tc>
          <w:tcPr>
            <w:tcW w:w="166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08"/>
              <w:rPr>
                <w:rFonts w:ascii="宋体" w:hAnsi="宋体"/>
                <w:color w:val="000000"/>
                <w:szCs w:val="21"/>
              </w:rPr>
            </w:pPr>
            <w:r>
              <w:rPr>
                <w:rFonts w:ascii="宋体" w:hAnsi="宋体"/>
                <w:color w:val="000000"/>
                <w:szCs w:val="21"/>
              </w:rPr>
            </w:r>
            <w:r/>
          </w:p>
        </w:tc>
      </w:tr>
      <w:tr>
        <w:trPr>
          <w:trHeight w:val="557"/>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4973" w:type="dxa"/>
            <w:vAlign w:val="center"/>
            <w:textDirection w:val="lrTb"/>
            <w:noWrap w:val="false"/>
          </w:tcPr>
          <w:p>
            <w:pPr>
              <w:pStyle w:val="1008"/>
              <w:spacing w:line="0" w:lineRule="atLeast"/>
              <w:rPr>
                <w:rFonts w:hint="eastAsia" w:ascii="宋体" w:hAnsi="宋体"/>
                <w:iCs/>
                <w:color w:val="000000"/>
                <w:szCs w:val="21"/>
              </w:rPr>
            </w:pPr>
            <w:r>
              <w:rPr>
                <w:rFonts w:hint="eastAsia" w:ascii="宋体" w:hAnsi="宋体"/>
                <w:iCs/>
                <w:color w:val="000000"/>
                <w:szCs w:val="21"/>
              </w:rPr>
            </w:r>
            <w:r/>
          </w:p>
        </w:tc>
        <w:tc>
          <w:tcPr>
            <w:tcW w:w="166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08"/>
              <w:rPr>
                <w:rFonts w:ascii="宋体" w:hAnsi="宋体"/>
                <w:color w:val="000000"/>
                <w:szCs w:val="21"/>
              </w:rPr>
            </w:pPr>
            <w:r>
              <w:rPr>
                <w:rFonts w:ascii="宋体" w:hAnsi="宋体"/>
                <w:color w:val="000000"/>
                <w:szCs w:val="21"/>
              </w:rPr>
            </w:r>
            <w:r/>
          </w:p>
        </w:tc>
      </w:tr>
      <w:tr>
        <w:trPr>
          <w:trHeight w:val="600"/>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4973" w:type="dxa"/>
            <w:vAlign w:val="center"/>
            <w:textDirection w:val="lrTb"/>
            <w:noWrap w:val="false"/>
          </w:tcPr>
          <w:p>
            <w:pPr>
              <w:pStyle w:val="1008"/>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6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08"/>
              <w:rPr>
                <w:rFonts w:ascii="宋体" w:hAnsi="宋体"/>
                <w:color w:val="000000"/>
                <w:szCs w:val="21"/>
              </w:rPr>
            </w:pPr>
            <w:r>
              <w:rPr>
                <w:rFonts w:ascii="宋体" w:hAnsi="宋体"/>
                <w:color w:val="000000"/>
                <w:szCs w:val="21"/>
              </w:rPr>
            </w:r>
            <w:r/>
          </w:p>
        </w:tc>
      </w:tr>
    </w:tbl>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1059"/>
        <w:rPr>
          <w:rFonts w:hint="eastAsia"/>
          <w:color w:val="000000"/>
        </w:rPr>
      </w:pPr>
      <w:r>
        <w:rPr>
          <w:rFonts w:hint="eastAsia"/>
          <w:color w:val="000000"/>
        </w:rPr>
      </w:r>
      <w:r/>
    </w:p>
    <w:p>
      <w:pPr>
        <w:pStyle w:val="1060"/>
        <w:rPr>
          <w:color w:val="000000"/>
          <w:lang w:eastAsia="zh-CN"/>
        </w:rPr>
      </w:pPr>
      <w:r>
        <w:rPr>
          <w:color w:val="000000"/>
          <w:lang w:eastAsia="zh-CN"/>
        </w:rPr>
      </w:r>
      <w:r/>
    </w:p>
    <w:p>
      <w:pPr>
        <w:pStyle w:val="1008"/>
        <w:contextualSpacing/>
        <w:jc w:val="both"/>
        <w:spacing w:line="600" w:lineRule="exact"/>
        <w:rPr>
          <w:rFonts w:ascii="宋体" w:hAnsi="宋体"/>
          <w:b/>
          <w:bCs/>
          <w:color w:val="000000"/>
          <w:sz w:val="32"/>
          <w:szCs w:val="32"/>
        </w:rPr>
      </w:pPr>
      <w:r>
        <w:rPr>
          <w:rFonts w:ascii="宋体" w:hAnsi="宋体"/>
          <w:b/>
          <w:bCs/>
          <w:color w:val="000000"/>
          <w:sz w:val="32"/>
          <w:szCs w:val="32"/>
        </w:rPr>
      </w:r>
      <w:r/>
    </w:p>
    <w:p>
      <w:pPr>
        <w:pStyle w:val="1008"/>
        <w:jc w:val="center"/>
        <w:keepLines w:val="0"/>
        <w:keepNext w:val="0"/>
        <w:pageBreakBefore w:val="0"/>
        <w:spacing w:before="200" w:after="200" w:line="360" w:lineRule="auto"/>
        <w:widowControl w:val="off"/>
        <w:rPr>
          <w:rFonts w:hint="eastAsia" w:ascii="宋体" w:hAnsi="宋体"/>
          <w:b/>
          <w:color w:val="000000"/>
          <w:sz w:val="30"/>
          <w:szCs w:val="30"/>
        </w:rPr>
      </w:pPr>
      <w:r>
        <w:rPr>
          <w:rFonts w:hint="eastAsia" w:ascii="宋体" w:hAnsi="宋体"/>
          <w:b/>
          <w:color w:val="000000"/>
          <w:sz w:val="30"/>
          <w:szCs w:val="30"/>
          <w:lang w:val="en-US" w:eastAsia="zh-CN" w:bidi="ar-SA"/>
        </w:rPr>
        <w:t xml:space="preserve">三、</w:t>
      </w:r>
      <w:r>
        <w:rPr>
          <w:rFonts w:hint="eastAsia" w:ascii="宋体" w:hAnsi="宋体"/>
          <w:b/>
          <w:color w:val="000000"/>
          <w:sz w:val="30"/>
          <w:szCs w:val="30"/>
        </w:rPr>
        <w:t xml:space="preserve">非实质性响应对照表</w:t>
      </w:r>
      <w:r>
        <w:rPr>
          <w:rFonts w:hint="eastAsia" w:ascii="宋体" w:hAnsi="宋体"/>
          <w:b/>
          <w:color w:val="000000"/>
          <w:sz w:val="30"/>
          <w:szCs w:val="30"/>
        </w:rPr>
      </w:r>
      <w:r/>
    </w:p>
    <w:tbl>
      <w:tblPr>
        <w:tblW w:w="87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8"/>
        <w:gridCol w:w="1908"/>
        <w:gridCol w:w="1212"/>
      </w:tblGrid>
      <w:tr>
        <w:trPr>
          <w:trHeight w:val="882"/>
        </w:trPr>
        <w:tc>
          <w:tcPr>
            <w:tcW w:w="646"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4998"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rPr>
                <w:rFonts w:ascii="幼圆" w:eastAsia="幼圆"/>
                <w:b/>
                <w:color w:val="000000"/>
                <w:szCs w:val="21"/>
              </w:rPr>
            </w:r>
            <w:r/>
          </w:p>
        </w:tc>
        <w:tc>
          <w:tcPr>
            <w:tcW w:w="1908"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212"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1008"/>
              <w:jc w:val="center"/>
              <w:rPr>
                <w:rFonts w:ascii="宋体" w:hAnsi="宋体"/>
                <w:b/>
                <w:color w:val="000000"/>
                <w:szCs w:val="21"/>
              </w:rPr>
            </w:pPr>
            <w:r>
              <w:rPr>
                <w:rFonts w:hint="eastAsia" w:ascii="宋体" w:hAnsi="宋体"/>
                <w:b w:val="0"/>
                <w:bCs/>
                <w:color w:val="000000"/>
                <w:szCs w:val="21"/>
              </w:rPr>
              <w:t xml:space="preserve">1</w:t>
            </w:r>
            <w:r>
              <w:rPr>
                <w:rFonts w:ascii="宋体" w:hAnsi="宋体"/>
                <w:b/>
                <w:color w:val="000000"/>
                <w:szCs w:val="21"/>
              </w:rPr>
            </w:r>
            <w:r/>
          </w:p>
        </w:tc>
        <w:tc>
          <w:tcPr>
            <w:tcW w:w="4998" w:type="dxa"/>
            <w:vAlign w:val="center"/>
            <w:textDirection w:val="lrTb"/>
            <w:noWrap w:val="false"/>
          </w:tcPr>
          <w:p>
            <w:pPr>
              <w:pStyle w:val="1008"/>
              <w:spacing w:line="0" w:lineRule="atLeast"/>
              <w:rPr>
                <w:rFonts w:ascii="宋体" w:hAnsi="宋体"/>
                <w:iCs/>
                <w:color w:val="000000"/>
                <w:szCs w:val="21"/>
              </w:rPr>
            </w:pPr>
            <w:r>
              <w:rPr>
                <w:rFonts w:hint="eastAsia" w:ascii="宋体" w:hAnsi="宋体"/>
                <w:iCs/>
                <w:color w:val="000000"/>
                <w:szCs w:val="21"/>
                <w:lang w:eastAsia="zh-CN"/>
              </w:rPr>
              <w:t xml:space="preserve">《</w:t>
            </w:r>
            <w:r>
              <w:rPr>
                <w:rFonts w:hint="eastAsia" w:ascii="宋体" w:hAnsi="宋体"/>
                <w:iCs/>
                <w:color w:val="000000"/>
                <w:szCs w:val="21"/>
              </w:rPr>
              <w:t xml:space="preserve">中小企业声明函</w:t>
            </w:r>
            <w:r>
              <w:rPr>
                <w:rFonts w:hint="eastAsia" w:ascii="宋体" w:hAnsi="宋体"/>
                <w:iCs/>
                <w:color w:val="000000"/>
                <w:szCs w:val="21"/>
                <w:lang w:eastAsia="zh-CN"/>
              </w:rPr>
              <w:t xml:space="preserve">》</w:t>
            </w:r>
            <w:r>
              <w:rPr>
                <w:rFonts w:ascii="宋体" w:hAnsi="宋体"/>
                <w:iCs/>
                <w:color w:val="000000"/>
                <w:szCs w:val="21"/>
              </w:rPr>
            </w:r>
            <w:r/>
          </w:p>
        </w:tc>
        <w:tc>
          <w:tcPr>
            <w:tcW w:w="1908" w:type="dxa"/>
            <w:vAlign w:val="center"/>
            <w:textDirection w:val="lrTb"/>
            <w:noWrap w:val="false"/>
          </w:tcPr>
          <w:p>
            <w:pPr>
              <w:pStyle w:val="1008"/>
              <w:rPr>
                <w:rFonts w:ascii="宋体" w:hAnsi="宋体"/>
                <w:b/>
                <w:color w:val="000000"/>
                <w:szCs w:val="21"/>
              </w:rPr>
            </w:pPr>
            <w:r>
              <w:rPr>
                <w:rFonts w:ascii="宋体" w:hAnsi="宋体"/>
                <w:b/>
                <w:color w:val="000000"/>
                <w:szCs w:val="21"/>
              </w:rPr>
            </w:r>
            <w:r/>
          </w:p>
        </w:tc>
        <w:tc>
          <w:tcPr>
            <w:tcW w:w="1212" w:type="dxa"/>
            <w:vAlign w:val="center"/>
            <w:textDirection w:val="lrTb"/>
            <w:noWrap w:val="false"/>
          </w:tcPr>
          <w:p>
            <w:pPr>
              <w:pStyle w:val="1008"/>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998" w:type="dxa"/>
            <w:vAlign w:val="center"/>
            <w:textDirection w:val="lrTb"/>
            <w:noWrap w:val="false"/>
          </w:tcPr>
          <w:p>
            <w:pPr>
              <w:pStyle w:val="1008"/>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90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212" w:type="dxa"/>
            <w:vAlign w:val="center"/>
            <w:textDirection w:val="lrTb"/>
            <w:noWrap w:val="false"/>
          </w:tcPr>
          <w:p>
            <w:pPr>
              <w:pStyle w:val="1008"/>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998" w:type="dxa"/>
            <w:vAlign w:val="center"/>
            <w:textDirection w:val="lrTb"/>
            <w:noWrap w:val="false"/>
          </w:tcPr>
          <w:p>
            <w:pPr>
              <w:pStyle w:val="1008"/>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90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212" w:type="dxa"/>
            <w:vAlign w:val="center"/>
            <w:textDirection w:val="lrTb"/>
            <w:noWrap w:val="false"/>
          </w:tcPr>
          <w:p>
            <w:pPr>
              <w:pStyle w:val="1008"/>
              <w:rPr>
                <w:rFonts w:ascii="宋体" w:hAnsi="宋体"/>
                <w:color w:val="000000"/>
                <w:szCs w:val="21"/>
              </w:rPr>
            </w:pPr>
            <w:r>
              <w:rPr>
                <w:rFonts w:ascii="宋体" w:hAnsi="宋体"/>
                <w:color w:val="000000"/>
                <w:szCs w:val="21"/>
              </w:rPr>
            </w:r>
            <w:r/>
          </w:p>
        </w:tc>
      </w:tr>
    </w:tbl>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rPr>
          <w:color w:val="000000"/>
        </w:rPr>
      </w:pPr>
      <w:r>
        <w:rPr>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hint="eastAsia" w:ascii="宋体" w:hAnsi="宋体" w:cs="Arial"/>
          <w:b/>
          <w:bCs/>
          <w:color w:val="000000"/>
        </w:rPr>
      </w:pPr>
      <w:r>
        <w:rPr>
          <w:rFonts w:hint="eastAsia" w:ascii="宋体" w:hAnsi="宋体" w:cs="Arial"/>
          <w:b/>
          <w:bCs/>
          <w:color w:val="000000"/>
        </w:rPr>
      </w:r>
      <w:r/>
    </w:p>
    <w:p>
      <w:pPr>
        <w:pStyle w:val="1059"/>
        <w:rPr>
          <w:rFonts w:hint="eastAsia"/>
          <w:color w:val="000000"/>
        </w:rPr>
      </w:pPr>
      <w:r>
        <w:rPr>
          <w:rFonts w:hint="eastAsia"/>
          <w:color w:val="000000"/>
        </w:rPr>
      </w:r>
      <w:r/>
    </w:p>
    <w:p>
      <w:pPr>
        <w:pStyle w:val="1060"/>
        <w:rPr>
          <w:rFonts w:hint="eastAsia"/>
          <w:color w:val="000000"/>
          <w:lang w:eastAsia="zh-CN"/>
        </w:rPr>
      </w:pPr>
      <w:r>
        <w:rPr>
          <w:rFonts w:hint="eastAsia"/>
          <w:color w:val="000000"/>
          <w:lang w:eastAsia="zh-CN"/>
        </w:rPr>
      </w:r>
      <w:r/>
    </w:p>
    <w:p>
      <w:pPr>
        <w:pStyle w:val="1060"/>
        <w:rPr>
          <w:rFonts w:hint="eastAsia"/>
        </w:rPr>
      </w:pPr>
      <w:r>
        <w:rPr>
          <w:rFonts w:hint="eastAsia"/>
        </w:rPr>
      </w:r>
      <w:r/>
    </w:p>
    <w:p>
      <w:pPr>
        <w:pStyle w:val="1063"/>
        <w:rPr>
          <w:color w:val="000000"/>
        </w:rPr>
      </w:pPr>
      <w:r>
        <w:rPr>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both"/>
        <w:spacing w:before="240" w:after="240" w:line="360" w:lineRule="auto"/>
        <w:rPr>
          <w:rFonts w:hint="eastAsia"/>
          <w:b/>
          <w:bCs/>
          <w:color w:val="000000"/>
        </w:rPr>
      </w:pPr>
      <w:r>
        <w:rPr>
          <w:rFonts w:hint="eastAsia"/>
          <w:b/>
          <w:bCs/>
          <w:color w:val="000000"/>
        </w:rPr>
      </w:r>
      <w:r/>
    </w:p>
    <w:p>
      <w:pPr>
        <w:pStyle w:val="1008"/>
        <w:jc w:val="both"/>
        <w:spacing w:before="240" w:after="240" w:line="360" w:lineRule="auto"/>
        <w:rPr>
          <w:rFonts w:hint="eastAsia"/>
          <w:b/>
          <w:bCs/>
          <w:color w:val="000000"/>
        </w:rPr>
      </w:pPr>
      <w:r>
        <w:rPr>
          <w:rFonts w:hint="eastAsia"/>
          <w:b/>
          <w:bCs/>
          <w:color w:val="000000"/>
        </w:rPr>
      </w:r>
      <w:r/>
    </w:p>
    <w:p>
      <w:pPr>
        <w:pStyle w:val="1008"/>
        <w:jc w:val="center"/>
        <w:spacing w:before="312" w:after="312" w:line="360" w:lineRule="auto"/>
        <w:rPr>
          <w:rFonts w:hint="eastAsia"/>
          <w:b/>
          <w:bCs/>
          <w:color w:val="000000"/>
          <w:highlight w:val="none"/>
        </w:rPr>
      </w:pPr>
      <w:r>
        <w:rPr>
          <w:rFonts w:hint="eastAsia"/>
          <w:b/>
          <w:bCs/>
          <w:color w:val="000000"/>
          <w:highlight w:val="none"/>
        </w:rPr>
        <w:t xml:space="preserve">中小企业声明函（工程、服务）</w:t>
      </w:r>
      <w:r>
        <w:rPr>
          <w:rFonts w:hint="eastAsia"/>
          <w:b/>
          <w:bCs/>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本公司（</w:t>
      </w:r>
      <w:r>
        <w:rPr>
          <w:rFonts w:hint="eastAsia"/>
          <w:color w:val="000000"/>
          <w:highlight w:val="none"/>
        </w:rPr>
        <w:t xml:space="preserve">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1008"/>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（其他未列明行业）</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1008"/>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（其他未列明行业）</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1008"/>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r>
      <w:r/>
    </w:p>
    <w:p>
      <w:pPr>
        <w:pStyle w:val="1008"/>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1008"/>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1008"/>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1008"/>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1008"/>
        <w:ind w:firstLine="420"/>
        <w:jc w:val="left"/>
        <w:rPr>
          <w:rFonts w:hint="eastAsia"/>
          <w:color w:val="000000"/>
          <w:highlight w:val="none"/>
        </w:rPr>
      </w:pPr>
      <w:r>
        <w:rPr>
          <w:rFonts w:hint="eastAsia"/>
          <w:color w:val="000000"/>
          <w:highlight w:val="none"/>
        </w:rPr>
      </w:r>
      <w:r/>
    </w:p>
    <w:p>
      <w:pPr>
        <w:pStyle w:val="1008"/>
        <w:ind w:firstLine="420"/>
        <w:jc w:val="left"/>
        <w:rPr>
          <w:rFonts w:hint="eastAsia"/>
          <w:color w:val="000000"/>
          <w:highlight w:val="none"/>
        </w:rPr>
      </w:pPr>
      <w:r>
        <w:rPr>
          <w:rFonts w:hint="eastAsia"/>
          <w:color w:val="000000"/>
          <w:highlight w:val="none"/>
        </w:rPr>
      </w:r>
      <w:r/>
    </w:p>
    <w:p>
      <w:pPr>
        <w:pStyle w:val="1008"/>
        <w:ind w:firstLine="4620"/>
        <w:jc w:val="left"/>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1008"/>
        <w:ind w:firstLine="4620"/>
        <w:jc w:val="left"/>
        <w:rPr>
          <w:rFonts w:hint="eastAsia"/>
          <w:color w:val="000000"/>
          <w:lang w:eastAsia="zh-CN"/>
        </w:rPr>
      </w:pPr>
      <w:r>
        <w:rPr>
          <w:rFonts w:hint="eastAsia"/>
          <w:color w:val="000000"/>
          <w:highlight w:val="none"/>
        </w:rPr>
        <w:t xml:space="preserve">日 期：</w:t>
      </w:r>
      <w:r>
        <w:rPr>
          <w:rFonts w:hint="eastAsia"/>
          <w:color w:val="000000"/>
          <w:lang w:eastAsia="zh-CN"/>
        </w:rPr>
      </w:r>
      <w:r/>
    </w:p>
    <w:p>
      <w:pPr>
        <w:pStyle w:val="1008"/>
        <w:rPr>
          <w:rFonts w:hint="eastAsia"/>
        </w:rPr>
      </w:pPr>
      <w:r/>
      <w:bookmarkStart w:id="56" w:name="_Toc91061195"/>
      <w:r/>
      <w:bookmarkStart w:id="57" w:name="_Toc24350"/>
      <w:r/>
      <w:bookmarkStart w:id="58" w:name="_Toc19241"/>
      <w:r>
        <w:rPr>
          <w:rFonts w:hint="eastAsia"/>
        </w:rPr>
      </w:r>
      <w:r/>
    </w:p>
    <w:p>
      <w:pPr>
        <w:pStyle w:val="1008"/>
        <w:rPr>
          <w:rFonts w:hint="eastAsia"/>
        </w:rPr>
      </w:pPr>
      <w:r>
        <w:rPr>
          <w:rFonts w:hint="eastAsia"/>
        </w:rPr>
      </w:r>
      <w:r/>
    </w:p>
    <w:p>
      <w:pPr>
        <w:pStyle w:val="1018"/>
        <w:rPr>
          <w:rFonts w:hint="eastAsia"/>
        </w:rPr>
      </w:pPr>
      <w:r>
        <w:rPr>
          <w:rFonts w:hint="eastAsia"/>
        </w:rPr>
      </w:r>
      <w:r/>
    </w:p>
    <w:p>
      <w:pPr>
        <w:pStyle w:val="1008"/>
        <w:jc w:val="center"/>
        <w:rPr>
          <w:b/>
          <w:bCs/>
          <w:sz w:val="28"/>
          <w:szCs w:val="28"/>
        </w:rPr>
      </w:pPr>
      <w:r>
        <w:rPr>
          <w:rFonts w:hint="eastAsia"/>
          <w:b/>
          <w:bCs/>
          <w:sz w:val="28"/>
          <w:szCs w:val="28"/>
        </w:rPr>
        <w:t xml:space="preserve">中小微企业划型标准</w:t>
      </w:r>
      <w:bookmarkEnd w:id="56"/>
      <w:r/>
      <w:bookmarkEnd w:id="57"/>
      <w:r/>
      <w:bookmarkEnd w:id="58"/>
      <w:r>
        <w:rPr>
          <w:b/>
          <w:bCs/>
          <w:sz w:val="28"/>
          <w:szCs w:val="28"/>
        </w:rPr>
      </w:r>
      <w:r/>
    </w:p>
    <w:p>
      <w:pPr>
        <w:pStyle w:val="1050"/>
        <w:jc w:val="center"/>
        <w:spacing w:before="300" w:after="452" w:line="360" w:lineRule="auto"/>
        <w:widowControl/>
        <w:rPr>
          <w:rFonts w:hint="eastAsia" w:ascii="宋体" w:hAnsi="宋体"/>
          <w:color w:val="000000"/>
          <w:sz w:val="21"/>
          <w:szCs w:val="21"/>
        </w:rPr>
      </w:pPr>
      <w:r>
        <w:rPr>
          <w:rStyle w:val="1054"/>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bl>
    <w:p>
      <w:pPr>
        <w:pStyle w:val="1050"/>
        <w:ind w:firstLine="810"/>
        <w:spacing w:before="300" w:after="452" w:line="360" w:lineRule="auto"/>
        <w:widowControl/>
        <w:rPr>
          <w:rStyle w:val="1054"/>
          <w:rFonts w:hint="eastAsia" w:ascii="宋体" w:hAnsi="宋体" w:cs="仿宋"/>
          <w:color w:val="000000"/>
          <w:sz w:val="21"/>
          <w:szCs w:val="21"/>
        </w:rPr>
      </w:pPr>
      <w:r>
        <w:rPr>
          <w:rStyle w:val="1054"/>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54"/>
          <w:rFonts w:hint="eastAsia" w:ascii="宋体" w:hAnsi="宋体" w:cs="仿宋"/>
          <w:color w:val="000000"/>
          <w:sz w:val="21"/>
          <w:szCs w:val="21"/>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left"/>
        <w:spacing w:line="360" w:lineRule="auto"/>
        <w:rPr>
          <w:rFonts w:hint="eastAsia"/>
          <w:color w:val="000000"/>
        </w:rPr>
      </w:pPr>
      <w:r>
        <w:rPr>
          <w:rFonts w:hint="eastAsia"/>
          <w:color w:val="000000"/>
        </w:rPr>
      </w:r>
      <w:r/>
    </w:p>
    <w:p>
      <w:pPr>
        <w:pStyle w:val="1008"/>
        <w:jc w:val="center"/>
        <w:spacing w:line="360" w:lineRule="auto"/>
        <w:rPr>
          <w:rFonts w:hint="eastAsia" w:ascii="仿宋_GB2312" w:eastAsia="仿宋_GB2312"/>
          <w:color w:val="000000"/>
          <w:spacing w:val="6"/>
          <w:sz w:val="30"/>
          <w:szCs w:val="30"/>
        </w:rPr>
      </w:pPr>
      <w:r>
        <w:rPr>
          <w:rFonts w:hint="eastAsia" w:ascii="宋体" w:hAnsi="宋体"/>
          <w:b/>
          <w:bCs/>
          <w:color w:val="000000"/>
        </w:rPr>
        <w:br w:type="page" w:clear="all"/>
      </w:r>
      <w:r>
        <w:rPr>
          <w:rFonts w:hint="eastAsia" w:ascii="宋体" w:hAnsi="宋体"/>
          <w:b/>
          <w:bCs/>
          <w:color w:val="000000"/>
        </w:rPr>
        <w:t xml:space="preserve">残疾人福利性单位声明函</w:t>
      </w:r>
      <w:r>
        <w:rPr>
          <w:rFonts w:hint="eastAsia" w:ascii="仿宋_GB2312" w:eastAsia="仿宋_GB2312"/>
          <w:color w:val="000000"/>
          <w:spacing w:val="6"/>
          <w:sz w:val="30"/>
          <w:szCs w:val="30"/>
        </w:rPr>
      </w:r>
      <w:r/>
    </w:p>
    <w:p>
      <w:pPr>
        <w:pStyle w:val="1008"/>
        <w:ind w:firstLine="420"/>
        <w:spacing w:line="588" w:lineRule="exact"/>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1008"/>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1008"/>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1008"/>
        <w:ind w:firstLine="420"/>
        <w:spacing w:line="588" w:lineRule="exact"/>
        <w:rPr>
          <w:rFonts w:hint="eastAsia" w:ascii="宋体" w:hAnsi="宋体"/>
          <w:color w:val="000000"/>
          <w:szCs w:val="21"/>
        </w:rPr>
      </w:pPr>
      <w:r>
        <w:rPr>
          <w:rFonts w:hint="eastAsia" w:ascii="宋体" w:hAnsi="宋体"/>
          <w:color w:val="000000"/>
          <w:szCs w:val="21"/>
        </w:rPr>
      </w:r>
      <w:r/>
    </w:p>
    <w:p>
      <w:pPr>
        <w:pStyle w:val="1008"/>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1008"/>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pStyle w:val="1008"/>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1008"/>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center"/>
        <w:spacing w:line="360" w:lineRule="auto"/>
        <w:rPr>
          <w:rFonts w:ascii="宋体" w:hAnsi="宋体" w:cs="Arial"/>
          <w:b/>
          <w:bCs/>
          <w:color w:val="000000"/>
        </w:rPr>
      </w:pPr>
      <w:r>
        <w:rPr>
          <w:rFonts w:ascii="宋体" w:hAnsi="宋体" w:cs="Arial"/>
          <w:b/>
          <w:bCs/>
          <w:color w:val="000000"/>
        </w:rPr>
      </w:r>
      <w:r/>
    </w:p>
    <w:p>
      <w:pPr>
        <w:pStyle w:val="1011"/>
        <w:keepLines w:val="0"/>
        <w:keepNext w:val="0"/>
        <w:rPr>
          <w:color w:val="000000"/>
        </w:rPr>
      </w:pPr>
      <w:r>
        <w:rPr>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59"/>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ind w:left="0" w:firstLine="0"/>
        <w:jc w:val="center"/>
        <w:rPr>
          <w:rFonts w:hint="eastAsia" w:ascii="宋体" w:hAnsi="宋体"/>
          <w:b/>
          <w:bCs/>
          <w:color w:val="000000"/>
          <w:sz w:val="32"/>
          <w:szCs w:val="32"/>
          <w:highlight w:val="none"/>
        </w:rPr>
      </w:pPr>
      <w:r>
        <w:rPr>
          <w:rFonts w:hint="eastAsia" w:ascii="宋体" w:hAnsi="宋体"/>
          <w:b/>
          <w:bCs/>
          <w:color w:val="000000"/>
          <w:sz w:val="32"/>
          <w:szCs w:val="32"/>
          <w:lang w:val="en-US" w:eastAsia="zh-CN" w:bidi="ar-SA"/>
        </w:rPr>
        <w:t xml:space="preserve">四、</w:t>
      </w:r>
      <w:r>
        <w:rPr>
          <w:rFonts w:hint="eastAsia" w:ascii="宋体" w:hAnsi="宋体"/>
          <w:b/>
          <w:bCs/>
          <w:color w:val="000000"/>
          <w:sz w:val="32"/>
          <w:szCs w:val="32"/>
          <w:highlight w:val="none"/>
        </w:rPr>
        <w:t xml:space="preserve">磋商响应报价表</w:t>
      </w:r>
      <w:r>
        <w:rPr>
          <w:rFonts w:hint="eastAsia" w:ascii="宋体" w:hAnsi="宋体"/>
          <w:b/>
          <w:bCs/>
          <w:color w:val="000000"/>
          <w:sz w:val="32"/>
          <w:szCs w:val="32"/>
          <w:highlight w:val="none"/>
        </w:rPr>
      </w:r>
      <w:r/>
    </w:p>
    <w:p>
      <w:pPr>
        <w:pStyle w:val="1059"/>
        <w:rPr>
          <w:rFonts w:hint="eastAsia"/>
        </w:rPr>
      </w:pPr>
      <w:r>
        <w:rPr>
          <w:rFonts w:hint="eastAsia"/>
        </w:rPr>
      </w:r>
      <w:r/>
    </w:p>
    <w:p>
      <w:pPr>
        <w:pStyle w:val="1008"/>
        <w:ind w:left="0" w:firstLine="0"/>
        <w:jc w:val="both"/>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rPr>
          <w:rFonts w:hint="eastAsia" w:ascii="宋体" w:hAnsi="宋体"/>
          <w:color w:val="000000"/>
          <w:sz w:val="21"/>
          <w:szCs w:val="21"/>
        </w:rPr>
      </w:r>
      <w:r/>
    </w:p>
    <w:p>
      <w:pPr>
        <w:pStyle w:val="1008"/>
        <w:spacing w:line="360" w:lineRule="auto"/>
        <w:rPr>
          <w:rFonts w:hint="eastAsia" w:ascii="宋体" w:hAnsi="宋体"/>
          <w:color w:val="000000"/>
          <w:szCs w:val="21"/>
        </w:rPr>
      </w:pPr>
      <w:r>
        <w:rPr>
          <w:rFonts w:hint="eastAsia" w:ascii="宋体" w:hAnsi="宋体"/>
        </w:rPr>
        <w:t xml:space="preserve">项目编号： </w:t>
      </w:r>
      <w:r>
        <w:rPr>
          <w:rFonts w:hint="eastAsia" w:ascii="宋体" w:hAnsi="宋体"/>
          <w:color w:val="000000"/>
        </w:rPr>
        <w:t xml:space="preserve">                                          分包号：                   </w:t>
      </w:r>
      <w:r>
        <w:rPr>
          <w:rFonts w:hint="eastAsia" w:ascii="宋体" w:hAnsi="宋体"/>
          <w:color w:val="000000"/>
          <w:szCs w:val="21"/>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序号</w:t>
            </w: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产品、服务名称</w:t>
            </w: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分项单位</w:t>
            </w: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数量</w:t>
            </w: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单价</w:t>
            </w:r>
            <w:r>
              <w:rPr>
                <w:rFonts w:ascii="宋体" w:hAnsi="宋体"/>
                <w:color w:val="000000"/>
                <w:szCs w:val="21"/>
              </w:rPr>
            </w:r>
            <w:r/>
          </w:p>
          <w:p>
            <w:pPr>
              <w:pStyle w:val="1008"/>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单项</w:t>
            </w:r>
            <w:r>
              <w:rPr>
                <w:rFonts w:ascii="宋体" w:hAnsi="宋体"/>
                <w:color w:val="000000"/>
                <w:szCs w:val="21"/>
              </w:rPr>
            </w:r>
            <w:r/>
          </w:p>
          <w:p>
            <w:pPr>
              <w:pStyle w:val="1008"/>
              <w:jc w:val="center"/>
              <w:spacing w:line="360" w:lineRule="auto"/>
              <w:rPr>
                <w:rFonts w:hint="eastAsia" w:ascii="宋体" w:hAnsi="宋体"/>
                <w:color w:val="000000"/>
              </w:rPr>
            </w:pPr>
            <w:r>
              <w:rPr>
                <w:rFonts w:hint="eastAsia" w:ascii="宋体" w:hAnsi="宋体"/>
                <w:color w:val="000000"/>
              </w:rPr>
              <w:t xml:space="preserve">合计价</w:t>
            </w:r>
            <w:r>
              <w:rPr>
                <w:rFonts w:hint="eastAsia" w:ascii="宋体" w:hAnsi="宋体"/>
                <w:color w:val="000000"/>
              </w:rPr>
            </w:r>
            <w:r/>
          </w:p>
          <w:p>
            <w:pPr>
              <w:pStyle w:val="1008"/>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gridSpan w:val="3"/>
            <w:tcW w:w="4234"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总报价</w:t>
            </w:r>
            <w:r>
              <w:rPr>
                <w:rFonts w:ascii="宋体" w:hAnsi="宋体"/>
                <w:color w:val="000000"/>
                <w:szCs w:val="21"/>
              </w:rPr>
            </w:r>
            <w:r/>
          </w:p>
        </w:tc>
        <w:tc>
          <w:tcPr>
            <w:gridSpan w:val="3"/>
            <w:tcW w:w="4271" w:type="dxa"/>
            <w:vAlign w:val="center"/>
            <w:textDirection w:val="lrTb"/>
            <w:noWrap w:val="false"/>
          </w:tcPr>
          <w:p>
            <w:pPr>
              <w:pStyle w:val="1008"/>
              <w:spacing w:line="360" w:lineRule="auto"/>
              <w:rPr>
                <w:rFonts w:ascii="宋体" w:hAnsi="宋体"/>
                <w:color w:val="000000"/>
                <w:szCs w:val="21"/>
              </w:rPr>
            </w:pPr>
            <w:r>
              <w:rPr>
                <w:rFonts w:hint="eastAsia" w:ascii="宋体" w:hAnsi="宋体"/>
                <w:color w:val="000000"/>
              </w:rPr>
              <w:t xml:space="preserve">人民币（大写）：</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rPr>
              <w:t xml:space="preserve"> 圆整</w:t>
            </w:r>
            <w:r>
              <w:rPr>
                <w:rFonts w:ascii="宋体" w:hAnsi="宋体"/>
                <w:color w:val="000000"/>
                <w:szCs w:val="21"/>
              </w:rPr>
            </w:r>
            <w:r/>
          </w:p>
          <w:p>
            <w:pPr>
              <w:pStyle w:val="1008"/>
              <w:spacing w:line="360" w:lineRule="auto"/>
              <w:rPr>
                <w:rFonts w:ascii="宋体" w:hAnsi="宋体"/>
                <w:color w:val="000000"/>
                <w:szCs w:val="21"/>
                <w:u w:val="single"/>
              </w:rPr>
            </w:pPr>
            <w:r>
              <w:rPr>
                <w:rFonts w:hint="eastAsia" w:ascii="宋体" w:hAnsi="宋体"/>
                <w:color w:val="000000"/>
              </w:rPr>
              <w:t xml:space="preserve">￥：</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ascii="宋体" w:hAnsi="宋体"/>
                <w:color w:val="000000"/>
                <w:szCs w:val="21"/>
                <w:u w:val="single"/>
              </w:rPr>
            </w:r>
            <w:r/>
          </w:p>
        </w:tc>
      </w:tr>
    </w:tbl>
    <w:p>
      <w:pPr>
        <w:pStyle w:val="1008"/>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1008"/>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Times New Roman" w:hAnsi="Times New Roman"/>
          <w:color w:val="000000"/>
        </w:rPr>
      </w:r>
      <w:r/>
    </w:p>
    <w:p>
      <w:pPr>
        <w:pStyle w:val="1008"/>
        <w:jc w:val="right"/>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w:t>
      </w:r>
      <w:r>
        <w:rPr>
          <w:rFonts w:hint="eastAsia" w:ascii="宋体" w:hAnsi="宋体" w:cs="宋体"/>
          <w:color w:val="000000"/>
          <w:sz w:val="22"/>
          <w:lang w:val="en-US" w:eastAsia="zh-CN"/>
        </w:rPr>
        <w:t xml:space="preserve">  </w:t>
      </w:r>
      <w:r>
        <w:rPr>
          <w:rFonts w:ascii="宋体" w:hAnsi="宋体" w:cs="宋体"/>
          <w:color w:val="000000"/>
          <w:sz w:val="22"/>
        </w:rPr>
        <w:t xml:space="preserve">年</w:t>
      </w:r>
      <w:r>
        <w:rPr>
          <w:rFonts w:hint="eastAsia" w:ascii="宋体" w:hAnsi="宋体" w:cs="宋体"/>
          <w:color w:val="000000"/>
          <w:sz w:val="22"/>
          <w:lang w:val="en-US" w:eastAsia="zh-CN"/>
        </w:rPr>
        <w:t xml:space="preserve">  </w:t>
      </w:r>
      <w:r>
        <w:rPr>
          <w:rFonts w:ascii="宋体" w:hAnsi="宋体" w:cs="宋体"/>
          <w:color w:val="000000"/>
          <w:sz w:val="22"/>
        </w:rPr>
        <w:t xml:space="preserve">月</w:t>
      </w:r>
      <w:r>
        <w:rPr>
          <w:rFonts w:hint="eastAsia" w:ascii="宋体" w:hAnsi="宋体" w:cs="宋体"/>
          <w:color w:val="000000"/>
          <w:sz w:val="22"/>
          <w:lang w:val="en-US" w:eastAsia="zh-CN"/>
        </w:rPr>
        <w:t xml:space="preserve">  </w:t>
      </w:r>
      <w:r>
        <w:rPr>
          <w:rFonts w:ascii="宋体" w:hAnsi="宋体" w:cs="宋体"/>
          <w:color w:val="000000"/>
          <w:sz w:val="22"/>
        </w:rPr>
        <w:t xml:space="preserve">日</w:t>
      </w:r>
      <w:r>
        <w:rPr>
          <w:rFonts w:ascii="Times New Roman" w:hAnsi="Times New Roman"/>
          <w:color w:val="000000"/>
        </w:rPr>
      </w:r>
      <w:r/>
    </w:p>
    <w:p>
      <w:pPr>
        <w:pStyle w:val="1008"/>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注：行数不够，可自行添加。</w:t>
      </w:r>
      <w:r>
        <w:rPr>
          <w:rFonts w:ascii="宋体" w:hAnsi="宋体" w:cs="宋体"/>
          <w:color w:val="000000"/>
          <w:sz w:val="22"/>
        </w:rPr>
      </w:r>
      <w:r/>
    </w:p>
    <w:p>
      <w:pPr>
        <w:pStyle w:val="1018"/>
        <w:sectPr>
          <w:headerReference w:type="default" r:id="rId11"/>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
    </w:p>
    <w:p>
      <w:pPr>
        <w:pStyle w:val="1008"/>
        <w:jc w:val="center"/>
        <w:keepLines w:val="0"/>
        <w:keepNext w:val="0"/>
        <w:pageBreakBefore w:val="0"/>
        <w:spacing w:before="200" w:after="200"/>
        <w:widowControl w:val="off"/>
        <w:rPr>
          <w:rFonts w:ascii="宋体" w:hAnsi="Times New Roman" w:cs="宋体"/>
          <w:b/>
          <w:color w:val="000000"/>
          <w:sz w:val="30"/>
          <w:szCs w:val="30"/>
        </w:rPr>
      </w:pPr>
      <w:r>
        <w:rPr>
          <w:rFonts w:hint="eastAsia" w:ascii="宋体" w:hAnsi="Times New Roman" w:cs="宋体"/>
          <w:b/>
          <w:color w:val="000000"/>
          <w:sz w:val="30"/>
          <w:szCs w:val="30"/>
        </w:rPr>
        <w:t xml:space="preserve">五、技术参数响应及偏离表</w:t>
      </w:r>
      <w:r>
        <w:rPr>
          <w:rFonts w:ascii="宋体" w:hAnsi="Times New Roman" w:cs="宋体"/>
          <w:b/>
          <w:color w:val="000000"/>
          <w:sz w:val="30"/>
          <w:szCs w:val="30"/>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388"/>
        <w:gridCol w:w="1693"/>
        <w:gridCol w:w="1163"/>
      </w:tblGrid>
      <w:tr>
        <w:trPr>
          <w:cantSplit/>
          <w:trHeight w:val="618"/>
        </w:trPr>
        <w:tc>
          <w:tcPr>
            <w:tcW w:w="984"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序号</w:t>
            </w:r>
            <w:r>
              <w:rPr>
                <w:rFonts w:ascii="Times New Roman" w:hAnsi="Times New Roman"/>
                <w:color w:val="000000"/>
              </w:rPr>
            </w:r>
            <w:r/>
          </w:p>
        </w:tc>
        <w:tc>
          <w:tcPr>
            <w:tcW w:w="2769"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采购要求</w:t>
            </w:r>
            <w:r>
              <w:rPr>
                <w:rFonts w:ascii="Times New Roman" w:hAnsi="Times New Roman"/>
                <w:color w:val="000000"/>
              </w:rPr>
            </w:r>
            <w:r/>
          </w:p>
        </w:tc>
        <w:tc>
          <w:tcPr>
            <w:tcW w:w="2388"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磋商响应</w:t>
            </w:r>
            <w:r>
              <w:rPr>
                <w:rFonts w:ascii="Times New Roman" w:hAnsi="Times New Roman"/>
                <w:color w:val="000000"/>
              </w:rPr>
            </w:r>
            <w:r/>
          </w:p>
        </w:tc>
        <w:tc>
          <w:tcPr>
            <w:tcW w:w="1693"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超出、符合或偏离</w:t>
            </w:r>
            <w:r>
              <w:rPr>
                <w:rFonts w:ascii="Times New Roman" w:hAnsi="Times New Roman"/>
                <w:color w:val="000000"/>
              </w:rPr>
            </w:r>
            <w:r/>
          </w:p>
        </w:tc>
        <w:tc>
          <w:tcPr>
            <w:tcW w:w="1163"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证明材料</w:t>
            </w:r>
            <w:r>
              <w:rPr>
                <w:rFonts w:ascii="Times New Roman" w:hAnsi="Times New Roman"/>
                <w:color w:val="000000"/>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701"/>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bl>
    <w:p>
      <w:pPr>
        <w:pStyle w:val="1008"/>
        <w:rPr>
          <w:rFonts w:ascii="宋体" w:hAnsi="Times New Roman" w:cs="宋体"/>
          <w:color w:val="000000"/>
          <w:szCs w:val="21"/>
        </w:rPr>
      </w:pPr>
      <w:r>
        <w:rPr>
          <w:rFonts w:ascii="宋体" w:hAnsi="Times New Roman" w:cs="宋体"/>
          <w:color w:val="000000"/>
          <w:szCs w:val="21"/>
        </w:rPr>
      </w:r>
      <w:r/>
    </w:p>
    <w:p>
      <w:pPr>
        <w:pStyle w:val="1008"/>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1008"/>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注：1、按照基本技术要求详细填列。</w:t>
      </w:r>
      <w:r>
        <w:rPr>
          <w:rFonts w:ascii="Times New Roman" w:hAnsi="Times New Roman"/>
          <w:color w:val="000000"/>
        </w:rPr>
      </w:r>
      <w:r/>
    </w:p>
    <w:p>
      <w:pPr>
        <w:pStyle w:val="1008"/>
        <w:ind w:firstLine="420"/>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2、行数不够，可自行添加。</w:t>
      </w:r>
      <w:r>
        <w:rPr>
          <w:rFonts w:ascii="Times New Roman" w:hAnsi="Times New Roman"/>
          <w:color w:val="000000"/>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both"/>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keepLines w:val="0"/>
        <w:keepNext w:val="0"/>
        <w:pageBreakBefore w:val="0"/>
        <w:spacing w:before="200" w:after="200" w:line="360" w:lineRule="auto"/>
        <w:widowControl w:val="off"/>
        <w:rPr>
          <w:rFonts w:ascii="宋体" w:hAnsi="Times New Roman" w:cs="宋体"/>
          <w:b/>
          <w:color w:val="000000"/>
          <w:sz w:val="30"/>
          <w:szCs w:val="30"/>
        </w:rPr>
      </w:pPr>
      <w:r>
        <w:rPr>
          <w:rFonts w:hint="eastAsia" w:ascii="宋体" w:hAnsi="Times New Roman" w:cs="宋体"/>
          <w:b/>
          <w:color w:val="000000"/>
          <w:sz w:val="30"/>
          <w:szCs w:val="30"/>
        </w:rPr>
        <w:t xml:space="preserve">六、商务条款响应及偏离表</w:t>
      </w:r>
      <w:r>
        <w:rPr>
          <w:rFonts w:ascii="宋体" w:hAnsi="Times New Roman" w:cs="宋体"/>
          <w:b/>
          <w:color w:val="000000"/>
          <w:sz w:val="30"/>
          <w:szCs w:val="30"/>
        </w:rPr>
      </w:r>
      <w:r/>
    </w:p>
    <w:tbl>
      <w:tblPr>
        <w:tblW w:w="943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trHeight w:val="726"/>
        </w:trPr>
        <w:tc>
          <w:tcPr>
            <w:tcW w:w="1810"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项目</w:t>
            </w:r>
            <w:r>
              <w:rPr>
                <w:rFonts w:ascii="宋体" w:hAnsi="宋体" w:cs="宋体"/>
                <w:color w:val="000000"/>
                <w:szCs w:val="21"/>
              </w:rPr>
            </w:r>
            <w:r/>
          </w:p>
        </w:tc>
        <w:tc>
          <w:tcPr>
            <w:tcW w:w="2765"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采购文件要求</w:t>
            </w: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是否响应</w:t>
            </w: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供应商的承诺或说明</w:t>
            </w:r>
            <w:r>
              <w:rPr>
                <w:rFonts w:ascii="宋体" w:hAnsi="宋体" w:cs="宋体"/>
                <w:color w:val="000000"/>
                <w:szCs w:val="21"/>
              </w:rPr>
            </w:r>
            <w:r/>
          </w:p>
        </w:tc>
      </w:tr>
      <w:tr>
        <w:trPr>
          <w:trHeight w:val="837"/>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服务期限</w:t>
            </w:r>
            <w:r>
              <w:rPr>
                <w:rFonts w:ascii="宋体" w:hAnsi="宋体" w:cs="宋体"/>
                <w:color w:val="000000"/>
                <w:szCs w:val="21"/>
              </w:rPr>
            </w:r>
            <w:r/>
          </w:p>
        </w:tc>
        <w:tc>
          <w:tcPr>
            <w:tcW w:w="2765"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服务要求</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r>
      <w:tr>
        <w:trPr>
          <w:trHeight w:val="717"/>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交付时间</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交付方式</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交付地点</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付款方式</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磋商响应货币</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r>
        <w:trPr>
          <w:trHeight w:val="714"/>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W w:w="2765"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bl>
    <w:p>
      <w:pPr>
        <w:pStyle w:val="1008"/>
        <w:jc w:val="center"/>
        <w:spacing w:line="360" w:lineRule="auto"/>
        <w:rPr>
          <w:rFonts w:ascii="宋体" w:hAnsi="Times New Roman" w:cs="宋体"/>
          <w:color w:val="000000"/>
          <w:szCs w:val="21"/>
        </w:rPr>
      </w:pPr>
      <w:r>
        <w:rPr>
          <w:rFonts w:ascii="宋体" w:hAnsi="Times New Roman" w:cs="宋体"/>
          <w:color w:val="000000"/>
          <w:szCs w:val="21"/>
        </w:rPr>
      </w:r>
      <w:r/>
    </w:p>
    <w:p>
      <w:pPr>
        <w:pStyle w:val="1008"/>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08"/>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08"/>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1008"/>
        <w:ind w:firstLine="210"/>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tc>
          <w:tcPr>
            <w:tcW w:w="8025" w:type="dxa"/>
            <w:vAlign w:val="top"/>
            <w:textDirection w:val="lrTb"/>
            <w:noWrap w:val="false"/>
          </w:tcPr>
          <w:p>
            <w:pPr>
              <w:pStyle w:val="1008"/>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8025" w:type="dxa"/>
            <w:vAlign w:val="top"/>
            <w:textDirection w:val="lrTb"/>
            <w:noWrap w:val="false"/>
          </w:tcPr>
          <w:p>
            <w:pPr>
              <w:pStyle w:val="100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08"/>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08"/>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08"/>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08"/>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08"/>
        <w:widowControl/>
        <w:rPr>
          <w:color w:val="000000"/>
        </w:rPr>
      </w:pPr>
      <w:r>
        <w:rPr>
          <w:color w:val="000000"/>
        </w:rPr>
        <w:t xml:space="preserve"> </w:t>
      </w:r>
      <w:r>
        <w:rPr>
          <w:color w:val="000000"/>
        </w:rPr>
      </w:r>
      <w:r/>
    </w:p>
    <w:p>
      <w:pPr>
        <w:pStyle w:val="1008"/>
        <w:rPr>
          <w:color w:val="000000"/>
        </w:rPr>
      </w:pPr>
      <w:r>
        <w:rPr>
          <w:color w:val="000000"/>
        </w:rPr>
      </w:r>
      <w:r/>
    </w:p>
    <w:p>
      <w:pPr>
        <w:pStyle w:val="1008"/>
        <w:ind w:firstLine="210"/>
        <w:jc w:val="center"/>
        <w:spacing w:line="360" w:lineRule="auto"/>
        <w:rPr>
          <w:rFonts w:ascii="宋体" w:hAnsi="宋体"/>
          <w:b/>
          <w:color w:val="000000"/>
          <w:highlight w:val="none"/>
        </w:rPr>
      </w:pPr>
      <w:r>
        <w:rPr>
          <w:color w:val="000000"/>
        </w:rPr>
        <w:br w:type="page" w:clear="all"/>
      </w:r>
      <w:r>
        <w:rPr>
          <w:rFonts w:hint="eastAsia" w:ascii="宋体" w:hAnsi="宋体"/>
          <w:b/>
          <w:color w:val="000000"/>
          <w:highlight w:val="none"/>
        </w:rPr>
        <w:t xml:space="preserve">联合体协议（如有）</w:t>
      </w:r>
      <w:r>
        <w:rPr>
          <w:rFonts w:ascii="宋体" w:hAnsi="宋体"/>
          <w:b/>
          <w:color w:val="000000"/>
          <w:highlight w:val="none"/>
        </w:rPr>
      </w:r>
      <w:r/>
    </w:p>
    <w:p>
      <w:pPr>
        <w:pStyle w:val="1008"/>
        <w:ind w:firstLine="211"/>
        <w:jc w:val="center"/>
        <w:spacing w:line="360" w:lineRule="auto"/>
        <w:rPr>
          <w:rFonts w:ascii="宋体" w:hAnsi="宋体"/>
          <w:b/>
          <w:color w:val="000000"/>
          <w:highlight w:val="none"/>
        </w:rPr>
      </w:pPr>
      <w:r>
        <w:rPr>
          <w:rFonts w:ascii="宋体" w:hAnsi="宋体"/>
          <w:b/>
          <w:color w:val="000000"/>
          <w:highlight w:val="none"/>
        </w:rPr>
      </w:r>
      <w:r/>
    </w:p>
    <w:p>
      <w:pPr>
        <w:pStyle w:val="1008"/>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1008"/>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1、我们自愿组成联合体，参加代理机构组织的采购编号为（项目编号）（项目全称）的政府采购活动。</w:t>
      </w:r>
      <w:r>
        <w:rPr>
          <w:rFonts w:ascii="宋体" w:hAnsi="宋体"/>
          <w:color w:val="000000"/>
          <w:highlight w:val="none"/>
        </w:rPr>
      </w:r>
      <w:r/>
    </w:p>
    <w:p>
      <w:pPr>
        <w:pStyle w:val="1008"/>
        <w:ind w:firstLine="645"/>
        <w:spacing w:line="360" w:lineRule="auto"/>
        <w:rPr>
          <w:rFonts w:ascii="宋体" w:hAnsi="宋体"/>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w:t>
      </w:r>
      <w:r>
        <w:rPr>
          <w:rFonts w:hint="eastAsia" w:ascii="宋体" w:hAnsi="宋体"/>
        </w:rPr>
        <w:t xml:space="preserve">供应商都应明示所承担的工作和相应的责任）。</w:t>
      </w:r>
      <w:r>
        <w:rPr>
          <w:rFonts w:ascii="宋体" w:hAnsi="宋体"/>
        </w:rPr>
      </w:r>
      <w:r/>
    </w:p>
    <w:p>
      <w:pPr>
        <w:pStyle w:val="1008"/>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1008"/>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1008"/>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1008"/>
        <w:ind w:firstLine="4620"/>
        <w:spacing w:line="360" w:lineRule="auto"/>
        <w:rPr>
          <w:rFonts w:ascii="宋体" w:hAnsi="宋体"/>
        </w:rPr>
      </w:pPr>
      <w:r>
        <w:rPr>
          <w:rFonts w:hint="eastAsia" w:ascii="宋体" w:hAnsi="宋体"/>
        </w:rPr>
        <w:t xml:space="preserve">日期：</w:t>
      </w:r>
      <w:r>
        <w:rPr>
          <w:rFonts w:ascii="宋体" w:hAnsi="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ourier New">
    <w:panose1 w:val="02070309020205020404"/>
  </w:font>
  <w:font w:name="Calibri">
    <w:panose1 w:val="020F0502020204030204"/>
  </w:font>
  <w:font w:name="幼圆">
    <w:panose1 w:val="02010509060101010101"/>
  </w:font>
  <w:font w:name="仿宋_GB2312">
    <w:panose1 w:val="02010609060101010101"/>
  </w:font>
  <w:font w:name="宋体_GB2312">
    <w:panose1 w:val="02010600030101010101"/>
  </w:font>
  <w:font w:name="黑体">
    <w:panose1 w:val="02010609060101010101"/>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rFonts w:ascii="宋体_GB2312" w:eastAsia="宋体_GB2312"/>
      </w:rPr>
    </w:pP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v:textbox>
            </v:shape>
          </w:pict>
        </mc:Fallback>
      </mc:AlternateContent>
    </w: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0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tabs>
        <w:tab w:val="center" w:pos="4153" w:leader="none"/>
        <w:tab w:val="right" w:pos="8306" w:leader="none"/>
      </w:tabs>
      <w:rPr>
        <w:rFonts w:hint="eastAsia" w:eastAsia="宋体"/>
        <w:lang w:eastAsia="zh-CN"/>
      </w:rPr>
      <w:pBdr>
        <w:bottom w:val="single" w:color="000000" w:sz="6" w:space="0"/>
      </w:pBdr>
    </w:pPr>
    <w:r>
      <w:rPr>
        <w:rFonts w:hint="eastAsia"/>
        <w:color w:val="000000"/>
        <w:lang w:eastAsia="zh-CN"/>
      </w:rPr>
      <w:t xml:space="preserve">JSXYYY-2025-</w:t>
    </w:r>
    <w:r>
      <w:rPr>
        <w:rFonts w:hint="eastAsia"/>
        <w:color w:val="000000"/>
        <w:lang w:val="en-US" w:eastAsia="zh-CN"/>
      </w:rPr>
      <w:t xml:space="preserve">11</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tabs>
        <w:tab w:val="center" w:pos="4153" w:leader="none"/>
        <w:tab w:val="right" w:pos="8306" w:leader="none"/>
      </w:tabs>
      <w:rPr>
        <w:rFonts w:ascii="宋体" w:hAnsi="宋体" w:cs="宋体"/>
        <w:sz w:val="21"/>
        <w:szCs w:val="21"/>
      </w:rPr>
      <w:pBdr>
        <w:bottom w:val="single" w:color="000000" w:sz="6" w:space="0"/>
      </w:pBdr>
    </w:pPr>
    <w:r>
      <w:rPr>
        <w:rFonts w:hint="eastAsia"/>
        <w:color w:val="000000"/>
        <w:lang w:eastAsia="zh-CN"/>
      </w:rPr>
      <w:t xml:space="preserve">JSXYYY-2025-</w:t>
    </w:r>
    <w:r>
      <w:rPr>
        <w:rFonts w:hint="eastAsia"/>
        <w:color w:val="000000"/>
        <w:lang w:val="en-US" w:eastAsia="zh-CN"/>
      </w:rPr>
      <w:t xml:space="preserve">11</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ascii="宋体" w:hAnsi="宋体" w:cs="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tabs>
        <w:tab w:val="center" w:pos="4153" w:leader="none"/>
        <w:tab w:val="right" w:pos="8306" w:leader="none"/>
      </w:tabs>
      <w:rPr>
        <w:rFonts w:ascii="宋体" w:hAnsi="宋体" w:cs="宋体"/>
        <w:sz w:val="21"/>
        <w:szCs w:val="21"/>
      </w:rPr>
      <w:pBdr>
        <w:bottom w:val="single" w:color="000000" w:sz="6" w:space="0"/>
      </w:pBdr>
    </w:pPr>
    <w:r>
      <w:rPr>
        <w:rFonts w:hint="eastAsia" w:ascii="宋体" w:hAnsi="宋体" w:eastAsia="宋体" w:cs="宋体"/>
        <w:b/>
        <w:bCs/>
        <w:sz w:val="21"/>
        <w:szCs w:val="21"/>
        <w:lang w:val="en-US" w:eastAsia="zh-CN"/>
      </w:rPr>
      <w:t xml:space="preserve"> </w:t>
    </w:r>
    <w:r>
      <w:rPr>
        <w:rFonts w:hint="eastAsia"/>
        <w:color w:val="000000"/>
        <w:lang w:eastAsia="zh-CN"/>
      </w:rPr>
      <w:t xml:space="preserve">JSXYYY-2025-11</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ascii="宋体" w:hAnsi="宋体" w:cs="宋体"/>
        <w:sz w:val="21"/>
        <w:szCs w:val="21"/>
      </w:rPr>
    </w:r>
    <w:r/>
  </w:p>
  <w:p>
    <w:pPr>
      <w:pStyle w:val="1042"/>
      <w:jc w:val="both"/>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tabs>
        <w:tab w:val="center" w:pos="4153" w:leader="none"/>
        <w:tab w:val="right" w:pos="8306" w:leader="none"/>
      </w:tabs>
      <w:pBdr>
        <w:bottom w:val="single" w:color="000000" w:sz="6" w:space="0"/>
      </w:pBdr>
    </w:pPr>
    <w:r>
      <w:rPr>
        <w:rFonts w:hint="eastAsia" w:ascii="宋体" w:hAnsi="宋体" w:cs="宋体"/>
        <w:b w:val="0"/>
        <w:bCs w:val="0"/>
        <w:sz w:val="18"/>
        <w:szCs w:val="18"/>
        <w:lang w:val="en-US" w:eastAsia="zh-CN"/>
      </w:rPr>
      <w:t xml:space="preserve"> JSXYYY-2025-11</w:t>
    </w:r>
    <w:r>
      <w:rPr>
        <w:rFonts w:hint="eastAsia" w:ascii="宋体" w:hAnsi="宋体" w:cs="宋体"/>
        <w:b/>
        <w:bCs/>
        <w:sz w:val="18"/>
        <w:szCs w:val="18"/>
        <w:lang w:val="en-US" w:eastAsia="zh-CN"/>
      </w:rPr>
      <w:t xml:space="preserve"> </w:t>
    </w:r>
    <w:r>
      <w:rPr>
        <w:rFonts w:hint="eastAsia" w:ascii="宋体" w:hAnsi="宋体" w:cs="宋体"/>
        <w:b/>
        <w:bCs/>
        <w:sz w:val="21"/>
        <w:szCs w:val="21"/>
        <w:lang w:val="en-US" w:eastAsia="zh-CN"/>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08"/>
    <w:next w:val="1008"/>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08"/>
    <w:next w:val="1008"/>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08"/>
    <w:next w:val="1008"/>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08"/>
    <w:next w:val="1008"/>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08"/>
    <w:next w:val="1008"/>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08"/>
    <w:next w:val="1008"/>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08"/>
    <w:next w:val="1008"/>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08"/>
    <w:next w:val="1008"/>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08"/>
    <w:next w:val="1008"/>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17"/>
    <w:link w:val="1008"/>
    <w:qFormat/>
    <w:pPr>
      <w:jc w:val="both"/>
      <w:widowControl w:val="off"/>
    </w:pPr>
    <w:rPr>
      <w:rFonts w:ascii="Times New Roman" w:hAnsi="Times New Roman" w:eastAsia="宋体" w:cs="Times New Roman"/>
      <w:sz w:val="21"/>
      <w:szCs w:val="22"/>
      <w:lang w:val="en-US" w:eastAsia="zh-CN" w:bidi="ar-SA"/>
    </w:rPr>
  </w:style>
  <w:style w:type="paragraph" w:styleId="1009">
    <w:name w:val="标题 1"/>
    <w:basedOn w:val="1008"/>
    <w:next w:val="1008"/>
    <w:link w:val="1019"/>
    <w:uiPriority w:val="9"/>
    <w:qFormat/>
    <w:pPr>
      <w:keepLines/>
      <w:keepNext/>
      <w:spacing w:before="340" w:after="330" w:line="578" w:lineRule="auto"/>
      <w:outlineLvl w:val="0"/>
    </w:pPr>
    <w:rPr>
      <w:b/>
      <w:bCs/>
      <w:sz w:val="44"/>
      <w:szCs w:val="44"/>
    </w:rPr>
  </w:style>
  <w:style w:type="paragraph" w:styleId="1010">
    <w:name w:val="标题 2"/>
    <w:basedOn w:val="1008"/>
    <w:next w:val="1008"/>
    <w:link w:val="1008"/>
    <w:uiPriority w:val="9"/>
    <w:qFormat/>
    <w:pPr>
      <w:keepLines/>
      <w:keepNext/>
      <w:spacing w:line="360" w:lineRule="auto"/>
      <w:outlineLvl w:val="1"/>
    </w:pPr>
    <w:rPr>
      <w:rFonts w:ascii="等线 Light" w:hAnsi="等线 Light" w:eastAsia="等线 Light"/>
      <w:b/>
      <w:bCs/>
      <w:sz w:val="32"/>
      <w:szCs w:val="32"/>
    </w:rPr>
  </w:style>
  <w:style w:type="paragraph" w:styleId="1011">
    <w:name w:val="标题 3"/>
    <w:basedOn w:val="1008"/>
    <w:next w:val="1008"/>
    <w:link w:val="1008"/>
    <w:uiPriority w:val="9"/>
    <w:qFormat/>
    <w:pPr>
      <w:keepLines/>
      <w:keepNext/>
      <w:spacing w:before="260" w:after="260" w:line="416" w:lineRule="auto"/>
      <w:outlineLvl w:val="2"/>
    </w:pPr>
    <w:rPr>
      <w:b/>
      <w:bCs/>
      <w:sz w:val="32"/>
      <w:szCs w:val="32"/>
    </w:rPr>
  </w:style>
  <w:style w:type="paragraph" w:styleId="1012">
    <w:name w:val="标题 4"/>
    <w:basedOn w:val="1008"/>
    <w:next w:val="1021"/>
    <w:link w:val="1020"/>
    <w:qFormat/>
    <w:pPr>
      <w:spacing w:before="280" w:after="290" w:line="377" w:lineRule="auto"/>
      <w:outlineLvl w:val="3"/>
    </w:pPr>
    <w:rPr>
      <w:rFonts w:ascii="Arial" w:hAnsi="Arial" w:eastAsia="黑体" w:cs="Times New Roman"/>
      <w:b/>
      <w:bCs/>
      <w:sz w:val="28"/>
      <w:szCs w:val="28"/>
    </w:rPr>
  </w:style>
  <w:style w:type="paragraph" w:styleId="1013">
    <w:name w:val="标题 5"/>
    <w:basedOn w:val="1008"/>
    <w:next w:val="1008"/>
    <w:link w:val="1023"/>
    <w:uiPriority w:val="9"/>
    <w:unhideWhenUsed/>
    <w:qFormat/>
    <w:pPr>
      <w:keepLines/>
      <w:keepNext/>
      <w:spacing w:before="280" w:beforeAutospacing="0" w:after="290" w:afterAutospacing="0" w:line="372" w:lineRule="auto"/>
      <w:outlineLvl w:val="4"/>
    </w:pPr>
    <w:rPr>
      <w:b/>
      <w:sz w:val="28"/>
    </w:rPr>
  </w:style>
  <w:style w:type="paragraph" w:styleId="1014">
    <w:name w:val="标题 6"/>
    <w:basedOn w:val="1008"/>
    <w:next w:val="1008"/>
    <w:link w:val="1024"/>
    <w:uiPriority w:val="9"/>
    <w:unhideWhenUsed/>
    <w:qFormat/>
    <w:pPr>
      <w:keepLines/>
      <w:keepNext/>
      <w:spacing w:before="240" w:beforeAutospacing="0" w:after="64" w:afterAutospacing="0" w:line="317" w:lineRule="auto"/>
      <w:outlineLvl w:val="5"/>
    </w:pPr>
    <w:rPr>
      <w:rFonts w:ascii="Arial" w:hAnsi="Arial" w:eastAsia="黑体"/>
      <w:b/>
      <w:sz w:val="24"/>
    </w:rPr>
  </w:style>
  <w:style w:type="character" w:styleId="1015">
    <w:name w:val="默认段落字体"/>
    <w:next w:val="1015"/>
    <w:link w:val="1008"/>
    <w:uiPriority w:val="1"/>
    <w:unhideWhenUsed/>
    <w:qFormat/>
  </w:style>
  <w:style w:type="table" w:styleId="1016">
    <w:name w:val="普通表格"/>
    <w:next w:val="1016"/>
    <w:link w:val="1008"/>
    <w:uiPriority w:val="99"/>
    <w:unhideWhenUsed/>
    <w:qFormat/>
    <w:tblPr/>
  </w:style>
  <w:style w:type="paragraph" w:styleId="1017">
    <w:name w:val="正文文本"/>
    <w:basedOn w:val="1008"/>
    <w:next w:val="1018"/>
    <w:link w:val="1008"/>
    <w:qFormat/>
    <w:pPr>
      <w:spacing w:after="120"/>
    </w:pPr>
  </w:style>
  <w:style w:type="paragraph" w:styleId="1018">
    <w:name w:val="正文首行缩进"/>
    <w:basedOn w:val="1017"/>
    <w:next w:val="1018"/>
    <w:link w:val="1008"/>
    <w:unhideWhenUsed/>
    <w:qFormat/>
    <w:pPr>
      <w:ind w:firstLine="420"/>
    </w:pPr>
    <w:rPr>
      <w:szCs w:val="24"/>
    </w:rPr>
  </w:style>
  <w:style w:type="character" w:styleId="1019">
    <w:name w:val="标题 1 Char"/>
    <w:next w:val="1019"/>
    <w:link w:val="1009"/>
    <w:uiPriority w:val="9"/>
    <w:qFormat/>
    <w:rPr>
      <w:b/>
      <w:bCs/>
      <w:sz w:val="44"/>
      <w:szCs w:val="44"/>
    </w:rPr>
  </w:style>
  <w:style w:type="character" w:styleId="1020">
    <w:name w:val="标题 4 Char"/>
    <w:next w:val="1020"/>
    <w:link w:val="1012"/>
    <w:rPr>
      <w:rFonts w:ascii="Arial" w:hAnsi="Arial" w:eastAsia="黑体" w:cs="Times New Roman"/>
      <w:b/>
      <w:bCs/>
      <w:sz w:val="28"/>
      <w:szCs w:val="28"/>
    </w:rPr>
  </w:style>
  <w:style w:type="paragraph" w:styleId="1021">
    <w:name w:val="正文缩进"/>
    <w:basedOn w:val="1008"/>
    <w:next w:val="1021"/>
    <w:link w:val="1022"/>
    <w:qFormat/>
    <w:pPr>
      <w:ind w:firstLine="420"/>
      <w:spacing w:line="360" w:lineRule="auto"/>
    </w:pPr>
    <w:rPr>
      <w:rFonts w:ascii="Calibri" w:hAnsi="Calibri" w:cs="Calibri"/>
      <w:sz w:val="24"/>
      <w:szCs w:val="24"/>
    </w:rPr>
  </w:style>
  <w:style w:type="character" w:styleId="1022">
    <w:name w:val="正文缩进 Char"/>
    <w:next w:val="1022"/>
    <w:link w:val="1021"/>
    <w:qFormat/>
    <w:rPr>
      <w:rFonts w:ascii="Calibri" w:hAnsi="Calibri" w:cs="Calibri"/>
      <w:sz w:val="24"/>
      <w:szCs w:val="24"/>
    </w:rPr>
  </w:style>
  <w:style w:type="character" w:styleId="1023">
    <w:name w:val="标题 5 Char"/>
    <w:next w:val="1023"/>
    <w:link w:val="1013"/>
    <w:rPr>
      <w:b/>
      <w:sz w:val="28"/>
    </w:rPr>
  </w:style>
  <w:style w:type="character" w:styleId="1024">
    <w:name w:val="标题 6 Char"/>
    <w:next w:val="1024"/>
    <w:link w:val="1014"/>
    <w:rPr>
      <w:rFonts w:ascii="Arial" w:hAnsi="Arial" w:eastAsia="黑体"/>
      <w:b/>
      <w:sz w:val="24"/>
    </w:rPr>
  </w:style>
  <w:style w:type="paragraph" w:styleId="1025">
    <w:name w:val="文档结构图"/>
    <w:basedOn w:val="1008"/>
    <w:next w:val="1025"/>
    <w:link w:val="1026"/>
    <w:uiPriority w:val="99"/>
    <w:unhideWhenUsed/>
    <w:qFormat/>
    <w:rPr>
      <w:rFonts w:ascii="宋体"/>
      <w:sz w:val="18"/>
      <w:szCs w:val="18"/>
    </w:rPr>
  </w:style>
  <w:style w:type="character" w:styleId="1026">
    <w:name w:val="文档结构图 Char"/>
    <w:next w:val="1026"/>
    <w:link w:val="1025"/>
    <w:uiPriority w:val="99"/>
    <w:semiHidden/>
    <w:qFormat/>
    <w:rPr>
      <w:rFonts w:ascii="宋体"/>
      <w:sz w:val="18"/>
      <w:szCs w:val="18"/>
    </w:rPr>
  </w:style>
  <w:style w:type="paragraph" w:styleId="1027">
    <w:name w:val="引文目录标题"/>
    <w:basedOn w:val="1008"/>
    <w:next w:val="1008"/>
    <w:link w:val="1008"/>
    <w:qFormat/>
    <w:pPr>
      <w:spacing w:before="120"/>
    </w:pPr>
    <w:rPr>
      <w:rFonts w:ascii="Arial" w:hAnsi="Arial"/>
      <w:sz w:val="24"/>
    </w:rPr>
  </w:style>
  <w:style w:type="paragraph" w:styleId="1028">
    <w:name w:val="批注文字"/>
    <w:basedOn w:val="1008"/>
    <w:next w:val="1028"/>
    <w:link w:val="1029"/>
    <w:uiPriority w:val="99"/>
    <w:unhideWhenUsed/>
    <w:qFormat/>
    <w:pPr>
      <w:jc w:val="left"/>
    </w:pPr>
  </w:style>
  <w:style w:type="character" w:styleId="1029">
    <w:name w:val="批注文字 Char"/>
    <w:next w:val="1029"/>
    <w:link w:val="1028"/>
    <w:uiPriority w:val="99"/>
    <w:semiHidden/>
    <w:qFormat/>
    <w:rPr>
      <w:sz w:val="21"/>
      <w:szCs w:val="22"/>
    </w:rPr>
  </w:style>
  <w:style w:type="paragraph" w:styleId="1030">
    <w:name w:val="正文文本缩进"/>
    <w:basedOn w:val="1008"/>
    <w:next w:val="1008"/>
    <w:link w:val="1008"/>
    <w:uiPriority w:val="99"/>
    <w:unhideWhenUsed/>
    <w:qFormat/>
    <w:pPr>
      <w:ind w:left="420"/>
      <w:spacing w:after="120"/>
    </w:pPr>
  </w:style>
  <w:style w:type="paragraph" w:styleId="1031">
    <w:name w:val="文本块"/>
    <w:basedOn w:val="1008"/>
    <w:next w:val="1031"/>
    <w:link w:val="1008"/>
    <w:uiPriority w:val="99"/>
    <w:unhideWhenUsed/>
    <w:qFormat/>
    <w:pPr>
      <w:ind w:left="420" w:right="33"/>
      <w:jc w:val="left"/>
    </w:pPr>
    <w:rPr>
      <w:sz w:val="24"/>
      <w:szCs w:val="20"/>
    </w:rPr>
  </w:style>
  <w:style w:type="paragraph" w:styleId="1032">
    <w:name w:val="索引 4"/>
    <w:basedOn w:val="1008"/>
    <w:next w:val="1008"/>
    <w:link w:val="1008"/>
    <w:semiHidden/>
    <w:qFormat/>
    <w:pPr>
      <w:ind w:left="1260"/>
    </w:pPr>
  </w:style>
  <w:style w:type="paragraph" w:styleId="1033">
    <w:name w:val="纯文本"/>
    <w:basedOn w:val="1008"/>
    <w:next w:val="1033"/>
    <w:link w:val="1034"/>
    <w:qFormat/>
    <w:rPr>
      <w:rFonts w:ascii="宋体" w:hAnsi="Courier New"/>
      <w:sz w:val="20"/>
      <w:szCs w:val="21"/>
    </w:rPr>
  </w:style>
  <w:style w:type="character" w:styleId="1034">
    <w:name w:val="纯文本 Char"/>
    <w:next w:val="1034"/>
    <w:link w:val="1033"/>
    <w:qFormat/>
    <w:rPr>
      <w:rFonts w:ascii="宋体" w:hAnsi="Courier New" w:eastAsia="宋体" w:cs="Times New Roman"/>
      <w:szCs w:val="21"/>
    </w:rPr>
  </w:style>
  <w:style w:type="paragraph" w:styleId="1035">
    <w:name w:val="日期"/>
    <w:basedOn w:val="1008"/>
    <w:next w:val="1008"/>
    <w:link w:val="1036"/>
    <w:qFormat/>
    <w:rPr>
      <w:sz w:val="24"/>
      <w:szCs w:val="20"/>
    </w:rPr>
  </w:style>
  <w:style w:type="character" w:styleId="1036">
    <w:name w:val="日期 Char"/>
    <w:next w:val="1036"/>
    <w:link w:val="1035"/>
    <w:qFormat/>
    <w:rPr>
      <w:rFonts w:ascii="Times New Roman" w:hAnsi="Times New Roman" w:eastAsia="宋体" w:cs="Times New Roman"/>
      <w:sz w:val="24"/>
      <w:szCs w:val="20"/>
    </w:rPr>
  </w:style>
  <w:style w:type="paragraph" w:styleId="1037">
    <w:name w:val="批注框文本"/>
    <w:basedOn w:val="1008"/>
    <w:next w:val="1037"/>
    <w:link w:val="1038"/>
    <w:uiPriority w:val="99"/>
    <w:unhideWhenUsed/>
    <w:qFormat/>
    <w:rPr>
      <w:sz w:val="18"/>
      <w:szCs w:val="18"/>
    </w:rPr>
  </w:style>
  <w:style w:type="character" w:styleId="1038">
    <w:name w:val="批注框文本 Char"/>
    <w:next w:val="1038"/>
    <w:link w:val="1037"/>
    <w:uiPriority w:val="99"/>
    <w:semiHidden/>
    <w:qFormat/>
    <w:rPr>
      <w:sz w:val="18"/>
      <w:szCs w:val="18"/>
    </w:rPr>
  </w:style>
  <w:style w:type="paragraph" w:styleId="1039">
    <w:name w:val="页脚"/>
    <w:basedOn w:val="1008"/>
    <w:next w:val="1039"/>
    <w:link w:val="1040"/>
    <w:uiPriority w:val="99"/>
    <w:unhideWhenUsed/>
    <w:qFormat/>
    <w:pPr>
      <w:jc w:val="left"/>
      <w:tabs>
        <w:tab w:val="center" w:pos="4153" w:leader="none"/>
        <w:tab w:val="right" w:pos="8306" w:leader="none"/>
      </w:tabs>
    </w:pPr>
    <w:rPr>
      <w:sz w:val="18"/>
      <w:szCs w:val="18"/>
    </w:rPr>
  </w:style>
  <w:style w:type="character" w:styleId="1040">
    <w:name w:val="页脚 Char"/>
    <w:next w:val="1040"/>
    <w:link w:val="1039"/>
    <w:uiPriority w:val="99"/>
    <w:qFormat/>
    <w:rPr>
      <w:sz w:val="18"/>
      <w:szCs w:val="18"/>
    </w:rPr>
  </w:style>
  <w:style w:type="paragraph" w:styleId="1041">
    <w:name w:val="寄信人地址"/>
    <w:basedOn w:val="1008"/>
    <w:next w:val="1041"/>
    <w:link w:val="1008"/>
    <w:qFormat/>
    <w:rPr>
      <w:rFonts w:ascii="Arial" w:hAnsi="Arial"/>
    </w:rPr>
  </w:style>
  <w:style w:type="paragraph" w:styleId="1042">
    <w:name w:val="页眉"/>
    <w:basedOn w:val="1008"/>
    <w:next w:val="1042"/>
    <w:link w:val="104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3">
    <w:name w:val="页眉 Char"/>
    <w:next w:val="1043"/>
    <w:link w:val="1042"/>
    <w:uiPriority w:val="99"/>
    <w:qFormat/>
    <w:rPr>
      <w:sz w:val="18"/>
      <w:szCs w:val="18"/>
    </w:rPr>
  </w:style>
  <w:style w:type="paragraph" w:styleId="1044">
    <w:name w:val="目录 1"/>
    <w:basedOn w:val="1008"/>
    <w:next w:val="1008"/>
    <w:link w:val="1008"/>
    <w:uiPriority w:val="39"/>
    <w:unhideWhenUsed/>
    <w:qFormat/>
  </w:style>
  <w:style w:type="paragraph" w:styleId="1045">
    <w:name w:val="副标题"/>
    <w:basedOn w:val="1008"/>
    <w:next w:val="1008"/>
    <w:link w:val="1046"/>
    <w:uiPriority w:val="11"/>
    <w:qFormat/>
    <w:pPr>
      <w:jc w:val="center"/>
      <w:spacing w:before="240" w:after="60" w:line="312" w:lineRule="auto"/>
      <w:outlineLvl w:val="1"/>
    </w:pPr>
    <w:rPr>
      <w:rFonts w:ascii="Cambria" w:hAnsi="Cambria"/>
      <w:b/>
      <w:bCs/>
      <w:sz w:val="32"/>
      <w:szCs w:val="32"/>
    </w:rPr>
  </w:style>
  <w:style w:type="character" w:styleId="1046">
    <w:name w:val="副标题 Char"/>
    <w:next w:val="1046"/>
    <w:link w:val="1045"/>
    <w:uiPriority w:val="11"/>
    <w:qFormat/>
    <w:rPr>
      <w:rFonts w:ascii="Cambria" w:hAnsi="Cambria" w:eastAsia="宋体" w:cs="Times New Roman"/>
      <w:b/>
      <w:bCs/>
      <w:sz w:val="32"/>
      <w:szCs w:val="32"/>
    </w:rPr>
  </w:style>
  <w:style w:type="paragraph" w:styleId="1047">
    <w:name w:val="目录 2"/>
    <w:basedOn w:val="1008"/>
    <w:next w:val="1008"/>
    <w:link w:val="1008"/>
    <w:uiPriority w:val="39"/>
    <w:unhideWhenUsed/>
    <w:qFormat/>
    <w:pPr>
      <w:ind w:left="420"/>
    </w:pPr>
  </w:style>
  <w:style w:type="paragraph" w:styleId="1048">
    <w:name w:val="目录 9"/>
    <w:basedOn w:val="1008"/>
    <w:next w:val="1008"/>
    <w:link w:val="1008"/>
    <w:qFormat/>
    <w:pPr>
      <w:ind w:left="3360"/>
    </w:pPr>
    <w:rPr>
      <w:rFonts w:ascii="Calibri" w:hAnsi="Calibri"/>
    </w:rPr>
  </w:style>
  <w:style w:type="paragraph" w:styleId="1049">
    <w:name w:val="正文文本 2"/>
    <w:basedOn w:val="1008"/>
    <w:next w:val="1049"/>
    <w:link w:val="1008"/>
    <w:qFormat/>
    <w:rPr>
      <w:sz w:val="24"/>
      <w:szCs w:val="24"/>
    </w:rPr>
  </w:style>
  <w:style w:type="paragraph" w:styleId="1050">
    <w:name w:val="普通(网站)"/>
    <w:basedOn w:val="1008"/>
    <w:next w:val="1050"/>
    <w:link w:val="1008"/>
    <w:unhideWhenUsed/>
    <w:qFormat/>
    <w:pPr>
      <w:jc w:val="left"/>
      <w:spacing w:before="100" w:beforeAutospacing="1" w:after="100" w:afterAutospacing="1"/>
      <w:widowControl/>
    </w:pPr>
    <w:rPr>
      <w:rFonts w:ascii="宋体" w:hAnsi="宋体" w:cs="宋体"/>
      <w:sz w:val="24"/>
      <w:szCs w:val="24"/>
    </w:rPr>
  </w:style>
  <w:style w:type="paragraph" w:styleId="1051">
    <w:name w:val="批注主题"/>
    <w:basedOn w:val="1028"/>
    <w:next w:val="1028"/>
    <w:link w:val="1052"/>
    <w:uiPriority w:val="99"/>
    <w:unhideWhenUsed/>
    <w:qFormat/>
    <w:rPr>
      <w:b/>
      <w:bCs/>
    </w:rPr>
  </w:style>
  <w:style w:type="character" w:styleId="1052">
    <w:name w:val="批注主题 Char"/>
    <w:next w:val="1052"/>
    <w:link w:val="1051"/>
    <w:uiPriority w:val="99"/>
    <w:semiHidden/>
    <w:qFormat/>
    <w:rPr>
      <w:b/>
      <w:bCs/>
      <w:sz w:val="21"/>
      <w:szCs w:val="22"/>
    </w:rPr>
  </w:style>
  <w:style w:type="table" w:styleId="1053">
    <w:name w:val="网格型"/>
    <w:basedOn w:val="1016"/>
    <w:next w:val="1053"/>
    <w:link w:val="1008"/>
    <w:qFormat/>
    <w:pPr>
      <w:jc w:val="both"/>
      <w:widowControl w:val="off"/>
    </w:pPr>
    <w:tblPr/>
  </w:style>
  <w:style w:type="character" w:styleId="1054">
    <w:name w:val="要点"/>
    <w:next w:val="1054"/>
    <w:link w:val="1008"/>
    <w:qFormat/>
    <w:rPr>
      <w:b/>
      <w:bCs/>
    </w:rPr>
  </w:style>
  <w:style w:type="character" w:styleId="1055">
    <w:name w:val="已访问的超链接"/>
    <w:basedOn w:val="1015"/>
    <w:next w:val="1055"/>
    <w:link w:val="1008"/>
    <w:uiPriority w:val="99"/>
    <w:unhideWhenUsed/>
    <w:qFormat/>
    <w:rPr>
      <w:color w:val="333333"/>
      <w:u w:val="none"/>
    </w:rPr>
  </w:style>
  <w:style w:type="character" w:styleId="1056">
    <w:name w:val="超链接"/>
    <w:basedOn w:val="1015"/>
    <w:next w:val="1056"/>
    <w:link w:val="1008"/>
    <w:uiPriority w:val="99"/>
    <w:unhideWhenUsed/>
    <w:qFormat/>
    <w:rPr>
      <w:color w:val="333333"/>
      <w:u w:val="none"/>
    </w:rPr>
  </w:style>
  <w:style w:type="character" w:styleId="1057">
    <w:name w:val="批注引用"/>
    <w:next w:val="1057"/>
    <w:link w:val="1008"/>
    <w:uiPriority w:val="99"/>
    <w:unhideWhenUsed/>
    <w:qFormat/>
    <w:rPr>
      <w:sz w:val="21"/>
      <w:szCs w:val="21"/>
    </w:rPr>
  </w:style>
  <w:style w:type="paragraph" w:styleId="1058">
    <w:name w:val="正文（缩进）"/>
    <w:basedOn w:val="1008"/>
    <w:next w:val="1008"/>
    <w:link w:val="1008"/>
    <w:qFormat/>
    <w:pPr>
      <w:ind w:firstLine="480"/>
    </w:pPr>
  </w:style>
  <w:style w:type="paragraph" w:styleId="1059">
    <w:name w:val="正文1"/>
    <w:next w:val="1060"/>
    <w:link w:val="1008"/>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1060">
    <w:name w:val="正文文本1"/>
    <w:basedOn w:val="1059"/>
    <w:next w:val="1061"/>
    <w:link w:val="1008"/>
    <w:qFormat/>
    <w:pPr>
      <w:spacing w:after="120"/>
    </w:pPr>
    <w:rPr>
      <w:lang w:val="en-US" w:eastAsia="en-US"/>
    </w:rPr>
  </w:style>
  <w:style w:type="paragraph" w:styleId="1061">
    <w:name w:val="一级条标题"/>
    <w:basedOn w:val="1062"/>
    <w:next w:val="1063"/>
    <w:link w:val="10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name w:val="章标题"/>
    <w:next w:val="1008"/>
    <w:link w:val="100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3">
    <w:name w:val="段"/>
    <w:basedOn w:val="1059"/>
    <w:next w:val="1008"/>
    <w:link w:val="1008"/>
    <w:qFormat/>
    <w:pPr>
      <w:ind w:firstLine="200"/>
      <w:widowControl/>
    </w:pPr>
    <w:rPr>
      <w:rFonts w:ascii="宋体"/>
      <w:sz w:val="20"/>
      <w:szCs w:val="20"/>
    </w:rPr>
  </w:style>
  <w:style w:type="paragraph" w:styleId="1064">
    <w:name w:val="目录 11"/>
    <w:basedOn w:val="1065"/>
    <w:next w:val="1059"/>
    <w:link w:val="1008"/>
    <w:qFormat/>
    <w:pPr>
      <w:jc w:val="left"/>
      <w:spacing w:after="100" w:line="259" w:lineRule="auto"/>
      <w:widowControl/>
    </w:pPr>
    <w:rPr>
      <w:rFonts w:ascii="Calibri" w:hAnsi="Calibri"/>
      <w:sz w:val="22"/>
      <w:szCs w:val="22"/>
    </w:rPr>
  </w:style>
  <w:style w:type="paragraph" w:styleId="1065">
    <w:name w:val="正文11"/>
    <w:next w:val="1064"/>
    <w:link w:val="1008"/>
    <w:qFormat/>
    <w:pPr>
      <w:jc w:val="both"/>
      <w:widowControl w:val="off"/>
    </w:pPr>
    <w:rPr>
      <w:rFonts w:ascii="Calibri" w:hAnsi="Calibri" w:eastAsia="宋体" w:cs="Times New Roman"/>
      <w:sz w:val="21"/>
      <w:szCs w:val="22"/>
      <w:lang w:val="en-US" w:eastAsia="zh-CN" w:bidi="ar-SA"/>
    </w:rPr>
  </w:style>
  <w:style w:type="character" w:styleId="1066">
    <w:name w:val="列出段落 Char"/>
    <w:next w:val="1066"/>
    <w:link w:val="1067"/>
    <w:qFormat/>
    <w:rPr>
      <w:sz w:val="24"/>
      <w:szCs w:val="24"/>
      <w:lang w:eastAsia="en-US" w:bidi="en-US"/>
    </w:rPr>
  </w:style>
  <w:style w:type="paragraph" w:styleId="1067">
    <w:name w:val="列出段落1"/>
    <w:basedOn w:val="1008"/>
    <w:next w:val="1067"/>
    <w:link w:val="1066"/>
    <w:qFormat/>
    <w:pPr>
      <w:contextualSpacing/>
      <w:ind w:left="720"/>
      <w:jc w:val="left"/>
      <w:widowControl/>
    </w:pPr>
    <w:rPr>
      <w:sz w:val="24"/>
      <w:szCs w:val="24"/>
      <w:lang w:eastAsia="en-US" w:bidi="en-US"/>
    </w:rPr>
  </w:style>
  <w:style w:type="character" w:styleId="1068">
    <w:name w:val="font61"/>
    <w:next w:val="1068"/>
    <w:link w:val="1008"/>
    <w:qFormat/>
    <w:rPr>
      <w:rFonts w:ascii="Times New Roman" w:hAnsi="Times New Roman" w:cs="Times New Roman"/>
      <w:color w:val="000000"/>
      <w:sz w:val="22"/>
      <w:szCs w:val="22"/>
      <w:u w:val="none"/>
      <w:lang w:eastAsia="en-US"/>
    </w:rPr>
  </w:style>
  <w:style w:type="character" w:styleId="1069">
    <w:name w:val="font71"/>
    <w:next w:val="1069"/>
    <w:link w:val="1008"/>
    <w:qFormat/>
    <w:rPr>
      <w:rFonts w:hint="eastAsia" w:ascii="仿宋" w:hAnsi="仿宋" w:eastAsia="仿宋" w:cs="仿宋"/>
      <w:color w:val="000000"/>
      <w:sz w:val="22"/>
      <w:szCs w:val="22"/>
      <w:u w:val="none"/>
      <w:lang w:eastAsia="en-US"/>
    </w:rPr>
  </w:style>
  <w:style w:type="paragraph" w:styleId="1070">
    <w:name w:val="普通正文"/>
    <w:basedOn w:val="1008"/>
    <w:next w:val="1070"/>
    <w:link w:val="1008"/>
    <w:qFormat/>
    <w:pPr>
      <w:ind w:firstLine="480"/>
      <w:jc w:val="left"/>
      <w:spacing w:before="120" w:after="120" w:line="360" w:lineRule="auto"/>
    </w:pPr>
    <w:rPr>
      <w:rFonts w:ascii="Arial" w:hAnsi="Arial"/>
      <w:sz w:val="24"/>
      <w:szCs w:val="24"/>
    </w:rPr>
  </w:style>
  <w:style w:type="paragraph" w:styleId="1071">
    <w:name w:val="无间隔1"/>
    <w:next w:val="1071"/>
    <w:link w:val="1008"/>
    <w:uiPriority w:val="99"/>
    <w:qFormat/>
    <w:pPr>
      <w:jc w:val="both"/>
      <w:widowControl w:val="off"/>
    </w:pPr>
    <w:rPr>
      <w:rFonts w:ascii="Times New Roman" w:hAnsi="Times New Roman" w:eastAsia="宋体" w:cs="Calibri"/>
      <w:sz w:val="21"/>
      <w:szCs w:val="21"/>
      <w:lang w:val="en-US" w:eastAsia="zh-CN" w:bidi="ar-SA"/>
    </w:rPr>
  </w:style>
  <w:style w:type="paragraph" w:styleId="1072">
    <w:name w:val="_Style 7"/>
    <w:basedOn w:val="1008"/>
    <w:next w:val="1072"/>
    <w:link w:val="1008"/>
    <w:uiPriority w:val="99"/>
    <w:qFormat/>
    <w:pPr>
      <w:ind w:firstLine="420"/>
    </w:pPr>
    <w:rPr>
      <w:rFonts w:ascii="Calibri" w:hAnsi="Calibri" w:cs="Calibri"/>
      <w:szCs w:val="21"/>
    </w:rPr>
  </w:style>
  <w:style w:type="paragraph" w:styleId="1073">
    <w:name w:val="Table Paragraph"/>
    <w:basedOn w:val="1008"/>
    <w:next w:val="1073"/>
    <w:link w:val="1008"/>
    <w:uiPriority w:val="1"/>
    <w:qFormat/>
    <w:rPr>
      <w:rFonts w:ascii="宋体" w:hAnsi="宋体" w:cs="宋体"/>
      <w:lang w:val="zh-CN" w:bidi="zh-CN"/>
    </w:rPr>
  </w:style>
  <w:style w:type="paragraph" w:styleId="1074">
    <w:name w:val="Char"/>
    <w:basedOn w:val="1008"/>
    <w:next w:val="1074"/>
    <w:link w:val="1008"/>
    <w:qFormat/>
    <w:pPr>
      <w:ind w:firstLine="200"/>
      <w:tabs>
        <w:tab w:val="left" w:pos="360" w:leader="none"/>
      </w:tabs>
    </w:pPr>
    <w:rPr>
      <w:sz w:val="28"/>
      <w:szCs w:val="30"/>
    </w:rPr>
  </w:style>
  <w:style w:type="paragraph" w:styleId="1075">
    <w:name w:val="Default"/>
    <w:next w:val="1075"/>
    <w:link w:val="1008"/>
    <w:qFormat/>
    <w:pPr>
      <w:widowControl w:val="off"/>
    </w:pPr>
    <w:rPr>
      <w:rFonts w:ascii="Times New Roman" w:hAnsi="Times New Roman" w:eastAsia="宋体" w:cs="Times New Roman"/>
      <w:color w:val="000000"/>
      <w:sz w:val="24"/>
      <w:szCs w:val="24"/>
      <w:lang w:val="en-US" w:eastAsia="zh-CN" w:bidi="ar-SA"/>
    </w:rPr>
  </w:style>
  <w:style w:type="paragraph" w:styleId="1076">
    <w:name w:val="FinBodyStyle"/>
    <w:next w:val="1076"/>
    <w:link w:val="1008"/>
    <w:uiPriority w:val="99"/>
    <w:qFormat/>
    <w:pPr>
      <w:ind w:firstLine="480"/>
      <w:spacing w:line="360" w:lineRule="auto"/>
    </w:pPr>
    <w:rPr>
      <w:rFonts w:ascii="宋体" w:hAnsi="宋体" w:eastAsia="宋体" w:cs="宋体"/>
      <w:sz w:val="24"/>
      <w:szCs w:val="24"/>
      <w:lang w:val="en-US" w:eastAsia="zh-CN" w:bidi="ar-SA"/>
    </w:rPr>
  </w:style>
  <w:style w:type="paragraph" w:styleId="1077">
    <w:name w:val="List Paragraph"/>
    <w:basedOn w:val="1008"/>
    <w:next w:val="1077"/>
    <w:link w:val="1008"/>
    <w:uiPriority w:val="34"/>
    <w:qFormat/>
    <w:pPr>
      <w:ind w:firstLine="420"/>
    </w:pPr>
    <w:rPr>
      <w:rFonts w:hAnsi="宋体" w:cs="宋体"/>
      <w:szCs w:val="20"/>
    </w:rPr>
  </w:style>
  <w:style w:type="character" w:styleId="1078">
    <w:name w:val="页眉 字符"/>
    <w:next w:val="1078"/>
    <w:link w:val="1008"/>
    <w:uiPriority w:val="99"/>
    <w:qFormat/>
  </w:style>
  <w:style w:type="character" w:styleId="1079">
    <w:name w:val="纯文本 字符"/>
    <w:next w:val="1079"/>
    <w:link w:val="1008"/>
    <w:qFormat/>
    <w:rPr>
      <w:rFonts w:ascii="宋体" w:hAnsi="Courier New" w:eastAsia="宋体" w:cs="Times New Roman"/>
      <w:szCs w:val="21"/>
    </w:rPr>
  </w:style>
  <w:style w:type="paragraph" w:styleId="1080">
    <w:name w:val="Char Char Char Char Char Char Char Char Char"/>
    <w:basedOn w:val="1008"/>
    <w:next w:val="1081"/>
    <w:link w:val="1008"/>
    <w:qFormat/>
    <w:pPr>
      <w:ind w:left="360" w:firstLine="5784"/>
    </w:pPr>
  </w:style>
  <w:style w:type="paragraph" w:styleId="1081">
    <w:name w:val="正文文本 21"/>
    <w:basedOn w:val="1008"/>
    <w:next w:val="1082"/>
    <w:link w:val="1008"/>
    <w:qFormat/>
    <w:pPr>
      <w:ind w:left="720" w:firstLine="5680"/>
      <w:widowControl/>
    </w:pPr>
  </w:style>
  <w:style w:type="paragraph" w:styleId="1082">
    <w:name w:val="默认段落字体 Para Char Char Char Char Char Char Char"/>
    <w:basedOn w:val="1008"/>
    <w:next w:val="1083"/>
    <w:link w:val="1008"/>
    <w:qFormat/>
    <w:pPr>
      <w:ind w:firstLine="200"/>
    </w:pPr>
    <w:rPr>
      <w:rFonts w:cs="Arial"/>
    </w:rPr>
  </w:style>
  <w:style w:type="paragraph" w:styleId="1083">
    <w:name w:val="样式 首行缩进:  2 字符"/>
    <w:basedOn w:val="1008"/>
    <w:next w:val="1084"/>
    <w:link w:val="1008"/>
    <w:qFormat/>
    <w:pPr>
      <w:ind w:left="480" w:firstLine="5856"/>
      <w:spacing w:line="360" w:lineRule="auto"/>
    </w:pPr>
  </w:style>
  <w:style w:type="paragraph" w:styleId="1084">
    <w:name w:val="样式 段后: 0.25 行"/>
    <w:basedOn w:val="1008"/>
    <w:next w:val="1085"/>
    <w:link w:val="1008"/>
    <w:qFormat/>
    <w:pPr>
      <w:ind w:left="420" w:firstLine="5796"/>
      <w:spacing w:line="300" w:lineRule="auto"/>
      <w:widowControl/>
    </w:pPr>
  </w:style>
  <w:style w:type="paragraph" w:styleId="1085">
    <w:name w:val="正文 New New New New New New New New New New New New New New"/>
    <w:next w:val="1048"/>
    <w:link w:val="1008"/>
    <w:qFormat/>
    <w:pPr>
      <w:ind w:firstLine="2048"/>
      <w:jc w:val="both"/>
      <w:widowControl w:val="off"/>
    </w:pPr>
    <w:rPr>
      <w:rFonts w:ascii="Calibri" w:hAnsi="Calibri" w:eastAsia="宋体" w:cs="Times New Roman"/>
      <w:lang w:val="en-US" w:eastAsia="zh-CN" w:bidi="ar-SA"/>
    </w:rPr>
  </w:style>
  <w:style w:type="paragraph" w:styleId="1086">
    <w:name w:val="表格"/>
    <w:basedOn w:val="1008"/>
    <w:next w:val="1086"/>
    <w:link w:val="1008"/>
    <w:qFormat/>
    <w:pPr>
      <w:jc w:val="center"/>
    </w:pPr>
    <w:rPr>
      <w:rFonts w:eastAsia="Times New Roman"/>
      <w:sz w:val="24"/>
    </w:rPr>
  </w:style>
  <w:style w:type="paragraph" w:styleId="1087">
    <w:name w:val="页脚1"/>
    <w:basedOn w:val="1065"/>
    <w:next w:val="1087"/>
    <w:link w:val="1008"/>
    <w:qFormat/>
    <w:pPr>
      <w:jc w:val="left"/>
      <w:tabs>
        <w:tab w:val="center" w:pos="4153" w:leader="none"/>
        <w:tab w:val="right" w:pos="8306" w:leader="none"/>
      </w:tabs>
    </w:pPr>
    <w:rPr>
      <w:sz w:val="18"/>
      <w:szCs w:val="18"/>
    </w:rPr>
  </w:style>
  <w:style w:type="paragraph" w:styleId="1088">
    <w:name w:val="No Spacing"/>
    <w:next w:val="1088"/>
    <w:link w:val="1008"/>
    <w:uiPriority w:val="99"/>
    <w:qFormat/>
    <w:pPr>
      <w:jc w:val="both"/>
      <w:widowControl w:val="off"/>
    </w:pPr>
    <w:rPr>
      <w:rFonts w:ascii="Times New Roman" w:hAnsi="Times New Roman" w:eastAsia="宋体" w:cs="Times New Roman"/>
      <w:sz w:val="21"/>
      <w:szCs w:val="21"/>
      <w:lang w:val="en-US" w:eastAsia="zh-CN" w:bidi="ar-SA"/>
    </w:rPr>
  </w:style>
  <w:style w:type="paragraph" w:styleId="1089">
    <w:name w:val="纯文本1"/>
    <w:basedOn w:val="1008"/>
    <w:next w:val="1089"/>
    <w:link w:val="1008"/>
    <w:qFormat/>
    <w:rPr>
      <w:rFonts w:ascii="宋体" w:hAnsi="Courier New"/>
      <w:sz w:val="20"/>
      <w:szCs w:val="21"/>
    </w:rPr>
  </w:style>
  <w:style w:type="paragraph" w:styleId="1090">
    <w:name w:val="Footer1"/>
    <w:basedOn w:val="1008"/>
    <w:next w:val="1090"/>
    <w:link w:val="1008"/>
    <w:uiPriority w:val="99"/>
    <w:unhideWhenUsed/>
    <w:qFormat/>
    <w:pPr>
      <w:jc w:val="left"/>
      <w:tabs>
        <w:tab w:val="center" w:pos="4153" w:leader="none"/>
        <w:tab w:val="right" w:pos="8306" w:leader="none"/>
      </w:tabs>
    </w:pPr>
    <w:rPr>
      <w:rFonts w:ascii="Times New Roman" w:hAnsi="Times New Roman"/>
      <w:sz w:val="18"/>
      <w:szCs w:val="18"/>
    </w:rPr>
  </w:style>
  <w:style w:type="paragraph" w:styleId="1091">
    <w:name w:val="Table Text"/>
    <w:basedOn w:val="1008"/>
    <w:next w:val="1091"/>
    <w:link w:val="1008"/>
    <w:semiHidden/>
    <w:qFormat/>
    <w:rPr>
      <w:rFonts w:ascii="宋体" w:hAnsi="宋体" w:eastAsia="宋体" w:cs="宋体"/>
      <w:sz w:val="19"/>
      <w:szCs w:val="19"/>
    </w:rPr>
  </w:style>
  <w:style w:type="table" w:styleId="1092">
    <w:name w:val="Table Normal"/>
    <w:next w:val="1092"/>
    <w:link w:val="1008"/>
    <w:unhideWhenUsed/>
    <w:qFormat/>
    <w:tblPr/>
  </w:style>
  <w:style w:type="paragraph" w:styleId="1093">
    <w:name w:val="引文目录1"/>
    <w:basedOn w:val="1008"/>
    <w:next w:val="1008"/>
    <w:link w:val="1008"/>
    <w:qFormat/>
    <w:pPr>
      <w:ind w:left="420"/>
    </w:pPr>
  </w:style>
  <w:style w:type="paragraph" w:styleId="1094">
    <w:name w:val="Normal_5"/>
    <w:next w:val="1094"/>
    <w:link w:val="1008"/>
    <w:qFormat/>
    <w:rPr>
      <w:rFonts w:ascii="Times New Roman" w:hAnsi="Times New Roman" w:eastAsia="Times New Roman" w:cs="Times New Roman"/>
      <w:sz w:val="24"/>
      <w:szCs w:val="24"/>
      <w:lang w:val="en-US" w:eastAsia="zh-CN" w:bidi="ar-SA"/>
    </w:rPr>
  </w:style>
  <w:style w:type="paragraph" w:styleId="1095">
    <w:name w:val="Normal_6"/>
    <w:next w:val="1095"/>
    <w:link w:val="1008"/>
    <w:qFormat/>
    <w:rPr>
      <w:rFonts w:ascii="Times New Roman" w:hAnsi="Times New Roman" w:eastAsia="Times New Roman" w:cs="Times New Roman"/>
      <w:sz w:val="24"/>
      <w:szCs w:val="24"/>
      <w:lang w:val="en-US" w:eastAsia="zh-CN" w:bidi="ar-SA"/>
    </w:rPr>
  </w:style>
  <w:style w:type="paragraph" w:styleId="1096">
    <w:name w:val="null3"/>
    <w:next w:val="1096"/>
    <w:link w:val="1008"/>
    <w:qFormat/>
    <w:rPr>
      <w:rFonts w:hint="eastAsia" w:ascii="Calibri" w:hAnsi="Calibri" w:eastAsia="宋体" w:cs="Times New Roman"/>
      <w:lang w:val="en-US" w:eastAsia="en-US"/>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4</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李承锴</cp:lastModifiedBy>
  <cp:revision>4</cp:revision>
  <dcterms:created xsi:type="dcterms:W3CDTF">2023-02-22T07:36:00Z</dcterms:created>
  <dcterms:modified xsi:type="dcterms:W3CDTF">2025-11-25T08:53:41Z</dcterms:modified>
</cp:coreProperties>
</file>